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A90B16">
      <w:pPr>
        <w:keepNext/>
        <w:keepLines/>
        <w:widowControl/>
        <w:spacing w:before="480" w:line="1000" w:lineRule="exact"/>
        <w:jc w:val="center"/>
        <w:rPr>
          <w:rFonts w:ascii="黑体" w:hAnsi="黑体" w:eastAsia="黑体" w:cs="黑体"/>
          <w:b/>
          <w:bCs/>
          <w:sz w:val="48"/>
          <w:szCs w:val="48"/>
        </w:rPr>
      </w:pPr>
      <w:bookmarkStart w:id="1" w:name="_GoBack"/>
      <w:bookmarkEnd w:id="1"/>
    </w:p>
    <w:p w14:paraId="584EAC97">
      <w:pPr>
        <w:keepNext/>
        <w:keepLines/>
        <w:widowControl/>
        <w:spacing w:before="480" w:line="1000" w:lineRule="exact"/>
        <w:jc w:val="center"/>
        <w:rPr>
          <w:rFonts w:ascii="黑体" w:hAnsi="黑体" w:eastAsia="黑体" w:cs="黑体"/>
          <w:b/>
          <w:bCs/>
          <w:sz w:val="48"/>
          <w:szCs w:val="48"/>
          <w:lang w:val="zh-CN"/>
        </w:rPr>
      </w:pPr>
      <w:r>
        <w:rPr>
          <w:rFonts w:hint="eastAsia" w:ascii="黑体" w:hAnsi="黑体" w:eastAsia="黑体" w:cs="黑体"/>
          <w:b/>
          <w:bCs/>
          <w:sz w:val="48"/>
          <w:szCs w:val="48"/>
        </w:rPr>
        <w:t>随州市住房和城乡建设局</w:t>
      </w:r>
      <w:r>
        <w:rPr>
          <w:rFonts w:hint="eastAsia" w:ascii="黑体" w:hAnsi="黑体" w:eastAsia="黑体" w:cs="黑体"/>
          <w:b/>
          <w:bCs/>
          <w:sz w:val="48"/>
          <w:szCs w:val="48"/>
          <w:lang w:val="zh-CN"/>
        </w:rPr>
        <w:t>2021年部门整体支出绩效自评报告</w:t>
      </w:r>
    </w:p>
    <w:p w14:paraId="76FB3DAF">
      <w:pPr>
        <w:jc w:val="center"/>
        <w:rPr>
          <w:rFonts w:ascii="宋体" w:hAnsi="宋体" w:eastAsia="宋体" w:cs="宋体"/>
          <w:sz w:val="24"/>
        </w:rPr>
      </w:pPr>
    </w:p>
    <w:p w14:paraId="2C172234">
      <w:pPr>
        <w:jc w:val="center"/>
        <w:rPr>
          <w:rFonts w:ascii="宋体" w:hAnsi="宋体" w:eastAsia="宋体" w:cs="宋体"/>
          <w:b/>
          <w:bCs/>
          <w:sz w:val="28"/>
          <w:szCs w:val="28"/>
        </w:rPr>
      </w:pPr>
    </w:p>
    <w:p w14:paraId="3DAA136F">
      <w:pPr>
        <w:ind w:left="560" w:firstLine="2700"/>
        <w:jc w:val="left"/>
        <w:rPr>
          <w:rFonts w:ascii="宋体" w:hAnsi="宋体" w:eastAsia="宋体" w:cs="宋体"/>
          <w:sz w:val="36"/>
          <w:szCs w:val="36"/>
        </w:rPr>
      </w:pPr>
    </w:p>
    <w:p w14:paraId="25E9BEEF">
      <w:pPr>
        <w:jc w:val="left"/>
        <w:rPr>
          <w:rFonts w:ascii="宋体" w:hAnsi="宋体" w:eastAsia="宋体" w:cs="宋体"/>
          <w:sz w:val="36"/>
          <w:szCs w:val="36"/>
        </w:rPr>
      </w:pPr>
    </w:p>
    <w:p w14:paraId="3C5FD298">
      <w:pPr>
        <w:jc w:val="left"/>
        <w:rPr>
          <w:rFonts w:ascii="宋体" w:hAnsi="宋体" w:eastAsia="宋体" w:cs="宋体"/>
          <w:sz w:val="36"/>
          <w:szCs w:val="36"/>
        </w:rPr>
      </w:pPr>
    </w:p>
    <w:p w14:paraId="4540822C">
      <w:pPr>
        <w:ind w:left="560" w:firstLine="2700"/>
        <w:jc w:val="left"/>
        <w:rPr>
          <w:rFonts w:ascii="宋体" w:hAnsi="宋体" w:eastAsia="宋体" w:cs="宋体"/>
          <w:sz w:val="36"/>
          <w:szCs w:val="36"/>
        </w:rPr>
      </w:pPr>
    </w:p>
    <w:p w14:paraId="32E98B99">
      <w:pPr>
        <w:spacing w:line="360" w:lineRule="auto"/>
        <w:ind w:firstLine="964"/>
        <w:rPr>
          <w:rFonts w:hint="default" w:ascii="宋体" w:hAnsi="宋体" w:eastAsia="宋体" w:cs="宋体"/>
          <w:b/>
          <w:bCs w:val="0"/>
          <w:sz w:val="32"/>
          <w:szCs w:val="32"/>
          <w:u w:val="single"/>
          <w:lang w:val="en-US" w:eastAsia="zh-CN"/>
        </w:rPr>
      </w:pPr>
      <w:r>
        <w:rPr>
          <w:rFonts w:hint="eastAsia" w:ascii="宋体" w:hAnsi="宋体" w:eastAsia="宋体" w:cs="宋体"/>
          <w:b/>
          <w:bCs w:val="0"/>
          <w:sz w:val="32"/>
          <w:szCs w:val="32"/>
        </w:rPr>
        <w:t>项目名称：</w:t>
      </w:r>
      <w:r>
        <w:rPr>
          <w:rFonts w:hint="eastAsia" w:ascii="宋体" w:hAnsi="宋体" w:eastAsia="宋体" w:cs="宋体"/>
          <w:b/>
          <w:bCs w:val="0"/>
          <w:sz w:val="32"/>
          <w:szCs w:val="32"/>
          <w:u w:val="single"/>
          <w:lang w:val="zh-CN"/>
        </w:rPr>
        <w:t>部门整体支出绩效</w:t>
      </w:r>
      <w:r>
        <w:rPr>
          <w:rFonts w:hint="eastAsia" w:ascii="宋体" w:hAnsi="宋体" w:eastAsia="宋体" w:cs="宋体"/>
          <w:b/>
          <w:bCs w:val="0"/>
          <w:sz w:val="32"/>
          <w:szCs w:val="32"/>
          <w:u w:val="single"/>
          <w:lang w:val="zh-CN" w:eastAsia="zh-CN"/>
        </w:rPr>
        <w:t>评价</w:t>
      </w:r>
      <w:r>
        <w:rPr>
          <w:rFonts w:hint="eastAsia" w:ascii="宋体" w:hAnsi="宋体" w:eastAsia="宋体" w:cs="宋体"/>
          <w:b/>
          <w:bCs w:val="0"/>
          <w:sz w:val="32"/>
          <w:szCs w:val="32"/>
          <w:u w:val="single"/>
          <w:lang w:val="en-US" w:eastAsia="zh-CN"/>
        </w:rPr>
        <w:t xml:space="preserve">  </w:t>
      </w:r>
    </w:p>
    <w:p w14:paraId="6143C375">
      <w:pPr>
        <w:spacing w:line="800" w:lineRule="exact"/>
        <w:ind w:right="-256" w:firstLine="964"/>
        <w:jc w:val="left"/>
        <w:rPr>
          <w:rFonts w:hint="eastAsia" w:ascii="宋体" w:hAnsi="宋体" w:eastAsia="宋体" w:cs="宋体"/>
          <w:b/>
          <w:bCs w:val="0"/>
          <w:sz w:val="32"/>
          <w:szCs w:val="32"/>
          <w:u w:val="single"/>
        </w:rPr>
      </w:pPr>
      <w:r>
        <w:rPr>
          <w:rFonts w:hint="eastAsia" w:ascii="宋体" w:hAnsi="宋体" w:eastAsia="宋体" w:cs="宋体"/>
          <w:b/>
          <w:bCs w:val="0"/>
          <w:sz w:val="32"/>
          <w:szCs w:val="32"/>
        </w:rPr>
        <w:t>项目单位：</w:t>
      </w:r>
      <w:r>
        <w:rPr>
          <w:rFonts w:hint="eastAsia" w:ascii="宋体" w:hAnsi="宋体" w:eastAsia="宋体" w:cs="宋体"/>
          <w:b/>
          <w:bCs w:val="0"/>
          <w:sz w:val="32"/>
          <w:szCs w:val="32"/>
          <w:u w:val="single"/>
        </w:rPr>
        <w:t>随州市住房和城乡建设局</w:t>
      </w:r>
    </w:p>
    <w:p w14:paraId="31874393">
      <w:pPr>
        <w:spacing w:line="800" w:lineRule="exact"/>
        <w:ind w:right="-256" w:firstLine="964"/>
        <w:jc w:val="left"/>
        <w:rPr>
          <w:rFonts w:hint="eastAsia" w:ascii="宋体" w:hAnsi="宋体" w:eastAsia="宋体" w:cs="宋体"/>
          <w:b/>
          <w:bCs w:val="0"/>
          <w:sz w:val="32"/>
          <w:szCs w:val="32"/>
          <w:highlight w:val="none"/>
          <w:u w:val="single"/>
          <w:lang w:val="en-US" w:eastAsia="zh-CN"/>
        </w:rPr>
      </w:pPr>
      <w:r>
        <w:rPr>
          <w:rFonts w:hint="eastAsia" w:ascii="宋体" w:hAnsi="宋体" w:eastAsia="宋体" w:cs="宋体"/>
          <w:b/>
          <w:bCs w:val="0"/>
          <w:sz w:val="32"/>
          <w:szCs w:val="32"/>
        </w:rPr>
        <w:t>主管单位：</w:t>
      </w:r>
      <w:r>
        <w:rPr>
          <w:rFonts w:hint="eastAsia" w:ascii="宋体" w:hAnsi="宋体" w:eastAsia="宋体" w:cs="宋体"/>
          <w:b/>
          <w:bCs w:val="0"/>
          <w:sz w:val="32"/>
          <w:szCs w:val="32"/>
          <w:highlight w:val="none"/>
          <w:u w:val="single"/>
        </w:rPr>
        <w:t>随州市住房和城乡建设局</w:t>
      </w:r>
      <w:r>
        <w:rPr>
          <w:rFonts w:hint="eastAsia" w:ascii="宋体" w:hAnsi="宋体" w:eastAsia="宋体" w:cs="宋体"/>
          <w:b/>
          <w:bCs w:val="0"/>
          <w:sz w:val="32"/>
          <w:szCs w:val="32"/>
          <w:highlight w:val="none"/>
          <w:u w:val="single"/>
          <w:lang w:val="en-US" w:eastAsia="zh-CN"/>
        </w:rPr>
        <w:t xml:space="preserve"> </w:t>
      </w:r>
    </w:p>
    <w:p w14:paraId="23C4B334">
      <w:pPr>
        <w:rPr>
          <w:rFonts w:ascii="宋体" w:hAnsi="宋体" w:eastAsia="宋体" w:cs="宋体"/>
          <w:b/>
          <w:bCs/>
          <w:szCs w:val="32"/>
        </w:rPr>
      </w:pPr>
    </w:p>
    <w:p w14:paraId="30EBE1A7">
      <w:pPr>
        <w:ind w:firstLine="964"/>
        <w:rPr>
          <w:rFonts w:ascii="宋体" w:hAnsi="宋体" w:eastAsia="宋体" w:cs="宋体"/>
          <w:b/>
          <w:bCs/>
          <w:szCs w:val="32"/>
        </w:rPr>
      </w:pPr>
      <w:r>
        <w:rPr>
          <w:rFonts w:hint="eastAsia" w:ascii="宋体" w:hAnsi="宋体" w:eastAsia="宋体" w:cs="宋体"/>
          <w:b/>
          <w:bCs/>
          <w:szCs w:val="32"/>
        </w:rPr>
        <w:t>绩效评价单位：</w:t>
      </w:r>
      <w:r>
        <w:rPr>
          <w:rFonts w:hint="eastAsia" w:ascii="宋体" w:hAnsi="宋体" w:eastAsia="宋体" w:cs="宋体"/>
          <w:b/>
          <w:bCs/>
          <w:szCs w:val="32"/>
          <w:u w:val="single"/>
        </w:rPr>
        <w:t>湖北德佳会计师事务所（普通合伙</w:t>
      </w:r>
      <w:r>
        <w:rPr>
          <w:rFonts w:ascii="宋体" w:hAnsi="宋体" w:eastAsia="宋体" w:cs="宋体"/>
          <w:b/>
          <w:bCs/>
          <w:szCs w:val="32"/>
          <w:u w:val="single"/>
        </w:rPr>
        <w:t>）</w:t>
      </w:r>
    </w:p>
    <w:p w14:paraId="124BAED6">
      <w:pPr>
        <w:ind w:firstLine="1285"/>
        <w:rPr>
          <w:rFonts w:ascii="宋体" w:hAnsi="宋体" w:eastAsia="宋体" w:cs="宋体"/>
          <w:b/>
          <w:bCs/>
          <w:szCs w:val="32"/>
        </w:rPr>
      </w:pPr>
    </w:p>
    <w:p w14:paraId="7AF68D8C">
      <w:pPr>
        <w:ind w:firstLine="964"/>
        <w:jc w:val="center"/>
        <w:rPr>
          <w:rFonts w:ascii="宋体" w:hAnsi="宋体" w:cs="宋体"/>
          <w:b/>
          <w:bCs/>
          <w:szCs w:val="32"/>
        </w:rPr>
      </w:pPr>
    </w:p>
    <w:p w14:paraId="55451B6B">
      <w:pPr>
        <w:jc w:val="center"/>
        <w:rPr>
          <w:rFonts w:ascii="宋体" w:hAnsi="宋体" w:eastAsia="宋体" w:cs="宋体"/>
          <w:b/>
          <w:bCs/>
          <w:szCs w:val="32"/>
        </w:rPr>
      </w:pPr>
      <w:r>
        <w:rPr>
          <w:rFonts w:hint="eastAsia" w:ascii="宋体" w:hAnsi="宋体" w:eastAsia="宋体" w:cs="宋体"/>
          <w:b/>
          <w:bCs/>
          <w:szCs w:val="32"/>
        </w:rPr>
        <w:t>二〇二二年四月</w:t>
      </w:r>
    </w:p>
    <w:p w14:paraId="108C8B10">
      <w:pPr>
        <w:jc w:val="center"/>
        <w:rPr>
          <w:rFonts w:ascii="宋体" w:hAnsi="宋体" w:eastAsia="宋体" w:cs="宋体"/>
          <w:b/>
          <w:bCs/>
          <w:sz w:val="28"/>
          <w:szCs w:val="28"/>
        </w:rPr>
      </w:pPr>
    </w:p>
    <w:p w14:paraId="182754A3">
      <w:pPr>
        <w:jc w:val="center"/>
        <w:rPr>
          <w:rFonts w:ascii="宋体" w:hAnsi="宋体" w:eastAsia="宋体" w:cs="宋体"/>
          <w:b/>
          <w:bCs/>
          <w:sz w:val="28"/>
          <w:szCs w:val="28"/>
        </w:rPr>
      </w:pPr>
    </w:p>
    <w:p w14:paraId="0AE4DCFD">
      <w:pPr>
        <w:spacing w:line="420" w:lineRule="auto"/>
        <w:jc w:val="center"/>
        <w:rPr>
          <w:rFonts w:ascii="宋体" w:hAnsi="宋体" w:eastAsia="宋体" w:cs="宋体"/>
          <w:b/>
          <w:sz w:val="44"/>
          <w:szCs w:val="44"/>
        </w:rPr>
      </w:pPr>
      <w:r>
        <w:rPr>
          <w:rFonts w:hint="eastAsia" w:ascii="宋体" w:hAnsi="宋体" w:eastAsia="宋体" w:cs="宋体"/>
          <w:b/>
          <w:sz w:val="44"/>
          <w:szCs w:val="44"/>
        </w:rPr>
        <w:t>随州市住房和城乡建设局2021年度部门整体支出绩效自评报告</w:t>
      </w:r>
    </w:p>
    <w:p w14:paraId="0C20F86A">
      <w:pPr>
        <w:ind w:firstLine="640"/>
        <w:rPr>
          <w:rFonts w:ascii="宋体" w:hAnsi="宋体" w:eastAsia="宋体"/>
          <w:szCs w:val="32"/>
        </w:rPr>
      </w:pPr>
    </w:p>
    <w:p w14:paraId="0A23DF4C">
      <w:pPr>
        <w:spacing w:line="396" w:lineRule="auto"/>
        <w:ind w:firstLine="560"/>
        <w:rPr>
          <w:rFonts w:ascii="宋体" w:hAnsi="宋体" w:eastAsia="宋体"/>
          <w:sz w:val="28"/>
          <w:szCs w:val="28"/>
        </w:rPr>
      </w:pPr>
      <w:r>
        <w:rPr>
          <w:rFonts w:hint="eastAsia" w:ascii="宋体" w:hAnsi="宋体" w:eastAsia="宋体"/>
          <w:sz w:val="28"/>
          <w:szCs w:val="28"/>
        </w:rPr>
        <w:t>根据《市财政局关于开展2021年度市本级财政支出绩效自评工作的通知》（随财函【2022】32号），随州市住房和城乡建设局根据工作职能，结合单位整体支出的实际情况，在财政局的指导下，严格按照预算绩效管理的规定，对2021年度随州市住房和城乡建设局整体支出进行了认真自评,现将有关情况报告如下：</w:t>
      </w:r>
    </w:p>
    <w:p w14:paraId="58E38706">
      <w:pPr>
        <w:spacing w:line="396" w:lineRule="auto"/>
        <w:ind w:firstLine="562"/>
        <w:rPr>
          <w:rFonts w:ascii="宋体" w:hAnsi="宋体" w:eastAsia="宋体"/>
          <w:b/>
          <w:sz w:val="28"/>
          <w:szCs w:val="28"/>
        </w:rPr>
      </w:pPr>
      <w:r>
        <w:rPr>
          <w:rFonts w:ascii="宋体" w:hAnsi="宋体" w:eastAsia="宋体"/>
          <w:b/>
          <w:sz w:val="28"/>
          <w:szCs w:val="28"/>
        </w:rPr>
        <w:t>一、自评结论</w:t>
      </w:r>
    </w:p>
    <w:p w14:paraId="154B8C9C">
      <w:pPr>
        <w:spacing w:line="396" w:lineRule="auto"/>
        <w:ind w:firstLine="560"/>
        <w:rPr>
          <w:rFonts w:ascii="宋体" w:hAnsi="宋体" w:eastAsia="宋体"/>
          <w:sz w:val="28"/>
          <w:szCs w:val="28"/>
        </w:rPr>
      </w:pPr>
      <w:r>
        <w:rPr>
          <w:rFonts w:ascii="宋体" w:hAnsi="宋体" w:eastAsia="宋体"/>
          <w:sz w:val="28"/>
          <w:szCs w:val="28"/>
        </w:rPr>
        <w:t>（一）部门整体绩效自评得分</w:t>
      </w:r>
      <w:r>
        <w:rPr>
          <w:rFonts w:hint="eastAsia" w:ascii="宋体" w:hAnsi="宋体" w:eastAsia="宋体"/>
          <w:sz w:val="28"/>
          <w:szCs w:val="28"/>
        </w:rPr>
        <w:t>：97分</w:t>
      </w:r>
    </w:p>
    <w:p w14:paraId="4B913A59">
      <w:pPr>
        <w:spacing w:line="396" w:lineRule="auto"/>
        <w:ind w:firstLine="560"/>
        <w:rPr>
          <w:rFonts w:ascii="宋体" w:hAnsi="宋体" w:eastAsia="宋体"/>
          <w:sz w:val="28"/>
          <w:szCs w:val="28"/>
        </w:rPr>
      </w:pPr>
      <w:r>
        <w:rPr>
          <w:rFonts w:ascii="宋体" w:hAnsi="宋体" w:eastAsia="宋体"/>
          <w:sz w:val="28"/>
          <w:szCs w:val="28"/>
        </w:rPr>
        <w:t>（二）部门整体绩效目标完成情况</w:t>
      </w:r>
    </w:p>
    <w:p w14:paraId="540D7C2D">
      <w:pPr>
        <w:spacing w:line="396" w:lineRule="auto"/>
        <w:ind w:firstLine="560"/>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w:t>
      </w:r>
      <w:r>
        <w:rPr>
          <w:rFonts w:hint="eastAsia" w:ascii="宋体" w:hAnsi="宋体" w:eastAsia="宋体" w:cs="仿宋"/>
          <w:sz w:val="28"/>
          <w:szCs w:val="28"/>
        </w:rPr>
        <w:t>预算</w:t>
      </w:r>
      <w:r>
        <w:rPr>
          <w:rFonts w:ascii="宋体" w:hAnsi="宋体" w:eastAsia="宋体" w:cs="仿宋"/>
          <w:sz w:val="28"/>
          <w:szCs w:val="28"/>
        </w:rPr>
        <w:t>执行率情况</w:t>
      </w:r>
      <w:r>
        <w:rPr>
          <w:rFonts w:hint="eastAsia" w:ascii="宋体" w:hAnsi="宋体" w:eastAsia="宋体"/>
          <w:sz w:val="28"/>
          <w:szCs w:val="28"/>
        </w:rPr>
        <w:t>。2021年部门整体预算支出总额3338.21万元，实际支出总额3338.21万元，预算执行率100%。</w:t>
      </w:r>
    </w:p>
    <w:p w14:paraId="7E40A037">
      <w:pPr>
        <w:spacing w:line="396" w:lineRule="auto"/>
        <w:ind w:firstLine="56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、部门</w:t>
      </w:r>
      <w:r>
        <w:rPr>
          <w:rFonts w:ascii="宋体" w:hAnsi="宋体" w:eastAsia="宋体"/>
          <w:sz w:val="28"/>
          <w:szCs w:val="28"/>
        </w:rPr>
        <w:t>绩效</w:t>
      </w:r>
      <w:r>
        <w:rPr>
          <w:rFonts w:hint="eastAsia" w:ascii="宋体" w:hAnsi="宋体" w:eastAsia="宋体"/>
          <w:sz w:val="28"/>
          <w:szCs w:val="28"/>
        </w:rPr>
        <w:t>目标：</w:t>
      </w:r>
      <w:r>
        <w:rPr>
          <w:rFonts w:ascii="宋体" w:hAnsi="宋体" w:eastAsia="宋体"/>
          <w:bCs/>
          <w:sz w:val="28"/>
          <w:szCs w:val="28"/>
        </w:rPr>
        <w:t>扎实抓好住建领域的项目建设、安全生产、疫情防控、防汛救灾，克服了城区供水保障机制改革、房地产风险防范化解，持续推进工程审批制度改革、红色物业创建、农村危房改造、乡镇生活污水治理、绿色建筑与建筑节能工作，完成了城市供水保障机制改革既定目标，实现了住建工作“全年精彩”。</w:t>
      </w:r>
    </w:p>
    <w:p w14:paraId="32473BEE">
      <w:pPr>
        <w:spacing w:line="396" w:lineRule="auto"/>
        <w:ind w:firstLine="560"/>
        <w:rPr>
          <w:rFonts w:ascii="宋体" w:hAnsi="宋体" w:eastAsia="宋体" w:cs="仿宋"/>
          <w:sz w:val="28"/>
          <w:szCs w:val="28"/>
        </w:rPr>
      </w:pPr>
      <w:r>
        <w:rPr>
          <w:rFonts w:hint="eastAsia" w:ascii="宋体" w:hAnsi="宋体" w:eastAsia="宋体" w:cs="仿宋"/>
          <w:sz w:val="28"/>
          <w:szCs w:val="28"/>
        </w:rPr>
        <w:fldChar w:fldCharType="begin"/>
      </w:r>
      <w:r>
        <w:rPr>
          <w:rFonts w:hint="eastAsia" w:ascii="宋体" w:hAnsi="宋体" w:eastAsia="宋体" w:cs="仿宋"/>
          <w:sz w:val="28"/>
          <w:szCs w:val="28"/>
        </w:rPr>
        <w:instrText xml:space="preserve"> = 1 \* GB3 \* MERGEFORMAT </w:instrText>
      </w:r>
      <w:r>
        <w:rPr>
          <w:rFonts w:hint="eastAsia" w:ascii="宋体" w:hAnsi="宋体" w:eastAsia="宋体" w:cs="仿宋"/>
          <w:sz w:val="28"/>
          <w:szCs w:val="28"/>
        </w:rPr>
        <w:fldChar w:fldCharType="separate"/>
      </w:r>
      <w:r>
        <w:rPr>
          <w:sz w:val="28"/>
          <w:szCs w:val="28"/>
        </w:rPr>
        <w:t>①</w:t>
      </w:r>
      <w:r>
        <w:rPr>
          <w:rFonts w:hint="eastAsia" w:ascii="宋体" w:hAnsi="宋体" w:eastAsia="宋体" w:cs="仿宋"/>
          <w:sz w:val="28"/>
          <w:szCs w:val="28"/>
        </w:rPr>
        <w:fldChar w:fldCharType="end"/>
      </w:r>
      <w:r>
        <w:rPr>
          <w:rFonts w:hint="eastAsia" w:ascii="宋体" w:hAnsi="宋体" w:eastAsia="宋体" w:cs="仿宋"/>
          <w:sz w:val="28"/>
          <w:szCs w:val="28"/>
        </w:rPr>
        <w:t>完成的绩效指标</w:t>
      </w:r>
    </w:p>
    <w:p w14:paraId="4B11E156">
      <w:pPr>
        <w:spacing w:line="396" w:lineRule="auto"/>
        <w:ind w:firstLine="560"/>
        <w:rPr>
          <w:rFonts w:ascii="宋体" w:hAnsi="宋体" w:eastAsia="宋体" w:cs="仿宋"/>
          <w:sz w:val="28"/>
          <w:szCs w:val="28"/>
        </w:rPr>
      </w:pPr>
      <w:r>
        <w:rPr>
          <w:rFonts w:hint="eastAsia" w:ascii="宋体" w:hAnsi="宋体" w:eastAsia="宋体" w:cs="仿宋"/>
          <w:sz w:val="28"/>
          <w:szCs w:val="28"/>
        </w:rPr>
        <w:t>1、城市功能不断完善，</w:t>
      </w:r>
      <w:r>
        <w:rPr>
          <w:rFonts w:ascii="宋体" w:hAnsi="宋体" w:eastAsia="宋体" w:cs="仿宋"/>
          <w:sz w:val="28"/>
          <w:szCs w:val="28"/>
        </w:rPr>
        <w:t>制定了《神韵随州补短板品质提升三年行动方案》，实施城市重点工程建设项目已开工</w:t>
      </w:r>
      <w:r>
        <w:rPr>
          <w:rFonts w:hint="eastAsia" w:ascii="宋体" w:hAnsi="宋体" w:eastAsia="宋体" w:cs="仿宋"/>
          <w:sz w:val="28"/>
          <w:szCs w:val="28"/>
        </w:rPr>
        <w:t>105</w:t>
      </w:r>
      <w:r>
        <w:rPr>
          <w:rFonts w:ascii="宋体" w:hAnsi="宋体" w:eastAsia="宋体" w:cs="仿宋"/>
          <w:sz w:val="28"/>
          <w:szCs w:val="28"/>
        </w:rPr>
        <w:t>项，完成投资近110亿元</w:t>
      </w:r>
      <w:r>
        <w:rPr>
          <w:rFonts w:hint="eastAsia" w:ascii="宋体" w:hAnsi="宋体" w:eastAsia="宋体" w:cs="仿宋"/>
          <w:sz w:val="28"/>
          <w:szCs w:val="28"/>
        </w:rPr>
        <w:t>；</w:t>
      </w:r>
      <w:r>
        <w:rPr>
          <w:rFonts w:ascii="宋体" w:hAnsi="宋体" w:eastAsia="宋体" w:cs="仿宋"/>
          <w:sz w:val="28"/>
          <w:szCs w:val="28"/>
        </w:rPr>
        <w:t>完成改造擂鼓墩大道、沿河大道</w:t>
      </w:r>
      <w:r>
        <w:rPr>
          <w:rFonts w:hint="eastAsia" w:ascii="宋体" w:hAnsi="宋体" w:eastAsia="宋体" w:cs="仿宋"/>
          <w:sz w:val="28"/>
          <w:szCs w:val="28"/>
        </w:rPr>
        <w:t>和</w:t>
      </w:r>
      <w:r>
        <w:rPr>
          <w:rFonts w:ascii="宋体" w:hAnsi="宋体" w:eastAsia="宋体" w:cs="仿宋"/>
          <w:sz w:val="28"/>
          <w:szCs w:val="28"/>
        </w:rPr>
        <w:t>冷家东巷等30余条背街小巷疏通</w:t>
      </w:r>
      <w:r>
        <w:rPr>
          <w:rFonts w:hint="eastAsia" w:ascii="宋体" w:hAnsi="宋体" w:eastAsia="宋体" w:cs="仿宋"/>
          <w:sz w:val="28"/>
          <w:szCs w:val="28"/>
        </w:rPr>
        <w:t>；</w:t>
      </w:r>
      <w:r>
        <w:rPr>
          <w:rFonts w:ascii="宋体" w:hAnsi="宋体" w:eastAsia="宋体" w:cs="仿宋"/>
          <w:bCs/>
          <w:sz w:val="28"/>
          <w:szCs w:val="28"/>
        </w:rPr>
        <w:t>整治易涝点7处</w:t>
      </w:r>
      <w:r>
        <w:rPr>
          <w:rFonts w:hint="eastAsia" w:ascii="宋体" w:hAnsi="宋体" w:eastAsia="宋体" w:cs="仿宋"/>
          <w:bCs/>
          <w:sz w:val="28"/>
          <w:szCs w:val="28"/>
        </w:rPr>
        <w:t>；</w:t>
      </w:r>
      <w:r>
        <w:rPr>
          <w:rFonts w:ascii="宋体" w:hAnsi="宋体" w:eastAsia="宋体" w:cs="仿宋"/>
          <w:bCs/>
          <w:sz w:val="28"/>
          <w:szCs w:val="28"/>
        </w:rPr>
        <w:t>实施历史建筑挂牌保护30处；完成《草甸子街历史文化街区保护规划（修编）》编制</w:t>
      </w:r>
      <w:r>
        <w:rPr>
          <w:rFonts w:ascii="宋体" w:hAnsi="宋体" w:eastAsia="宋体" w:cs="仿宋"/>
          <w:sz w:val="28"/>
          <w:szCs w:val="28"/>
        </w:rPr>
        <w:t>。</w:t>
      </w:r>
    </w:p>
    <w:p w14:paraId="30DF8B11">
      <w:pPr>
        <w:spacing w:line="396" w:lineRule="auto"/>
        <w:ind w:firstLine="560"/>
        <w:rPr>
          <w:rFonts w:ascii="宋体" w:hAnsi="宋体" w:eastAsia="宋体" w:cs="仿宋"/>
          <w:sz w:val="28"/>
          <w:szCs w:val="28"/>
        </w:rPr>
      </w:pPr>
      <w:r>
        <w:rPr>
          <w:rFonts w:hint="eastAsia" w:ascii="宋体" w:hAnsi="宋体" w:eastAsia="宋体" w:cs="仿宋"/>
          <w:sz w:val="28"/>
          <w:szCs w:val="28"/>
        </w:rPr>
        <w:t>2、</w:t>
      </w:r>
      <w:r>
        <w:rPr>
          <w:rFonts w:ascii="宋体" w:hAnsi="宋体" w:eastAsia="宋体" w:cs="仿宋"/>
          <w:bCs/>
          <w:sz w:val="28"/>
          <w:szCs w:val="28"/>
        </w:rPr>
        <w:t>保障性安居工程实现了发放租赁补贴780户，占省定目标任务115%；出台《随州市公共租赁住房租金减免暂行规定》，租金减免惠及218个困难家庭</w:t>
      </w:r>
      <w:r>
        <w:rPr>
          <w:rFonts w:hint="eastAsia" w:ascii="宋体" w:hAnsi="宋体" w:eastAsia="宋体" w:cs="仿宋"/>
          <w:bCs/>
          <w:sz w:val="28"/>
          <w:szCs w:val="28"/>
        </w:rPr>
        <w:t>；</w:t>
      </w:r>
      <w:r>
        <w:rPr>
          <w:rFonts w:ascii="宋体" w:hAnsi="宋体" w:eastAsia="宋体" w:cs="仿宋"/>
          <w:bCs/>
          <w:sz w:val="28"/>
          <w:szCs w:val="28"/>
        </w:rPr>
        <w:t>引导改造151个老旧小区全面完成；</w:t>
      </w:r>
      <w:r>
        <w:rPr>
          <w:rFonts w:ascii="宋体" w:hAnsi="宋体" w:eastAsia="宋体" w:cs="仿宋"/>
          <w:sz w:val="28"/>
          <w:szCs w:val="28"/>
        </w:rPr>
        <w:t>投资50万元开发了加装电梯申报子系统，完成增设电梯133部，全年受理加装申</w:t>
      </w:r>
      <w:r>
        <w:rPr>
          <w:rFonts w:ascii="宋体" w:hAnsi="宋体" w:eastAsia="宋体" w:cs="仿宋"/>
          <w:bCs/>
          <w:sz w:val="28"/>
          <w:szCs w:val="28"/>
        </w:rPr>
        <w:t>请114部</w:t>
      </w:r>
      <w:r>
        <w:rPr>
          <w:rFonts w:hint="eastAsia" w:ascii="宋体" w:hAnsi="宋体" w:eastAsia="宋体" w:cs="仿宋"/>
          <w:bCs/>
          <w:sz w:val="28"/>
          <w:szCs w:val="28"/>
        </w:rPr>
        <w:t>；</w:t>
      </w:r>
      <w:r>
        <w:rPr>
          <w:rFonts w:ascii="宋体" w:hAnsi="宋体" w:eastAsia="宋体" w:cs="仿宋"/>
          <w:bCs/>
          <w:sz w:val="28"/>
          <w:szCs w:val="28"/>
        </w:rPr>
        <w:t>完善住宅维修资金智慧管理系统，完成了5.1万笔、2.65亿元交存业务补录。印发了《随州市“红色物业”拓面提质工作方案》等规范性文件，全市1056个城市住宅小区实现物业服务全覆盖，“红色物业”示范小区达到120个，</w:t>
      </w:r>
      <w:r>
        <w:rPr>
          <w:bCs/>
          <w:sz w:val="28"/>
          <w:szCs w:val="28"/>
        </w:rPr>
        <w:t>“</w:t>
      </w:r>
      <w:r>
        <w:rPr>
          <w:rFonts w:hint="eastAsia" w:ascii="宋体" w:hAnsi="宋体" w:eastAsia="宋体" w:cs="宋体"/>
          <w:bCs/>
          <w:sz w:val="28"/>
          <w:szCs w:val="28"/>
        </w:rPr>
        <w:t>红色物业</w:t>
      </w:r>
      <w:r>
        <w:rPr>
          <w:bCs/>
          <w:sz w:val="28"/>
          <w:szCs w:val="28"/>
        </w:rPr>
        <w:t>”</w:t>
      </w:r>
      <w:r>
        <w:rPr>
          <w:rFonts w:hint="eastAsia" w:ascii="宋体" w:hAnsi="宋体" w:eastAsia="宋体" w:cs="宋体"/>
          <w:bCs/>
          <w:sz w:val="28"/>
          <w:szCs w:val="28"/>
        </w:rPr>
        <w:t>创建工作得到省委组织部</w:t>
      </w:r>
      <w:r>
        <w:rPr>
          <w:rFonts w:hint="eastAsia" w:ascii="Malgun Gothic Semilight" w:hAnsi="Malgun Gothic Semilight" w:eastAsia="Malgun Gothic Semilight" w:cs="Malgun Gothic Semilight"/>
          <w:bCs/>
          <w:sz w:val="28"/>
          <w:szCs w:val="28"/>
        </w:rPr>
        <w:t>、</w:t>
      </w:r>
      <w:r>
        <w:rPr>
          <w:rFonts w:hint="eastAsia" w:ascii="宋体" w:hAnsi="宋体" w:eastAsia="宋体" w:cs="宋体"/>
          <w:bCs/>
          <w:sz w:val="28"/>
          <w:szCs w:val="28"/>
        </w:rPr>
        <w:t>省住建厅充分肯定</w:t>
      </w:r>
      <w:r>
        <w:rPr>
          <w:rFonts w:ascii="宋体" w:hAnsi="宋体" w:eastAsia="宋体" w:cs="仿宋"/>
          <w:bCs/>
          <w:sz w:val="28"/>
          <w:szCs w:val="28"/>
        </w:rPr>
        <w:t>。</w:t>
      </w:r>
    </w:p>
    <w:p w14:paraId="1DAC8468">
      <w:pPr>
        <w:spacing w:line="396" w:lineRule="auto"/>
        <w:ind w:firstLine="560"/>
        <w:rPr>
          <w:rFonts w:ascii="宋体" w:hAnsi="宋体" w:eastAsia="宋体" w:cs="仿宋"/>
          <w:sz w:val="28"/>
          <w:szCs w:val="28"/>
        </w:rPr>
      </w:pPr>
      <w:r>
        <w:rPr>
          <w:rFonts w:hint="eastAsia" w:ascii="宋体" w:hAnsi="宋体" w:eastAsia="宋体" w:cs="仿宋"/>
          <w:sz w:val="28"/>
          <w:szCs w:val="28"/>
        </w:rPr>
        <w:t>3、</w:t>
      </w:r>
      <w:r>
        <w:rPr>
          <w:rFonts w:ascii="宋体" w:hAnsi="宋体" w:eastAsia="宋体" w:cs="仿宋"/>
          <w:sz w:val="28"/>
          <w:szCs w:val="28"/>
        </w:rPr>
        <w:t>持续提升城市生活污水处理质效，</w:t>
      </w:r>
      <w:r>
        <w:rPr>
          <w:rFonts w:ascii="宋体" w:hAnsi="宋体" w:eastAsia="宋体" w:cs="仿宋"/>
          <w:bCs/>
          <w:sz w:val="28"/>
          <w:szCs w:val="28"/>
        </w:rPr>
        <w:t>实施雨污分流改造50余公里，</w:t>
      </w:r>
      <w:r>
        <w:rPr>
          <w:rFonts w:ascii="宋体" w:hAnsi="宋体" w:eastAsia="宋体" w:cs="仿宋"/>
          <w:sz w:val="28"/>
          <w:szCs w:val="28"/>
        </w:rPr>
        <w:t>巩固提升中心城区14条黑臭水体治理成果；城区生活污水集中处理率达97.</w:t>
      </w:r>
      <w:r>
        <w:rPr>
          <w:rFonts w:hint="eastAsia" w:ascii="宋体" w:hAnsi="宋体" w:eastAsia="宋体" w:cs="仿宋"/>
          <w:sz w:val="28"/>
          <w:szCs w:val="28"/>
        </w:rPr>
        <w:t>3</w:t>
      </w:r>
      <w:r>
        <w:rPr>
          <w:rFonts w:ascii="宋体" w:hAnsi="宋体" w:eastAsia="宋体" w:cs="仿宋"/>
          <w:sz w:val="28"/>
          <w:szCs w:val="28"/>
        </w:rPr>
        <w:t>%，</w:t>
      </w:r>
      <w:r>
        <w:rPr>
          <w:rFonts w:hint="eastAsia" w:ascii="宋体" w:hAnsi="宋体" w:eastAsia="宋体" w:cs="宋体"/>
          <w:bCs/>
          <w:color w:val="000000"/>
          <w:sz w:val="28"/>
          <w:szCs w:val="28"/>
          <w:shd w:val="clear" w:color="auto" w:fill="FFFFFF"/>
        </w:rPr>
        <w:t>顺利通过</w:t>
      </w:r>
      <w:r>
        <w:rPr>
          <w:rFonts w:hint="eastAsia" w:ascii="宋体" w:hAnsi="宋体" w:eastAsia="宋体" w:cs="宋体"/>
          <w:sz w:val="28"/>
          <w:szCs w:val="28"/>
        </w:rPr>
        <w:t>中央第二轮环保督察</w:t>
      </w:r>
      <w:r>
        <w:rPr>
          <w:rFonts w:ascii="宋体" w:hAnsi="宋体" w:eastAsia="宋体" w:cs="仿宋"/>
          <w:sz w:val="28"/>
          <w:szCs w:val="28"/>
        </w:rPr>
        <w:t>。</w:t>
      </w:r>
      <w:r>
        <w:rPr>
          <w:rFonts w:ascii="宋体" w:hAnsi="宋体" w:eastAsia="宋体" w:cs="仿宋"/>
          <w:bCs/>
          <w:sz w:val="28"/>
          <w:szCs w:val="28"/>
        </w:rPr>
        <w:t>加大工地扬尘治理力度，约谈责任单位及责任人20家80余人，发</w:t>
      </w:r>
      <w:r>
        <w:rPr>
          <w:rFonts w:ascii="宋体" w:hAnsi="宋体" w:eastAsia="宋体" w:cs="仿宋"/>
          <w:sz w:val="28"/>
          <w:szCs w:val="28"/>
        </w:rPr>
        <w:t>通报4期。编制出台《随州市预拌混凝土（砂浆）行业发展专项规划》，建筑节能和绿色建筑各项指标均超额完成省定目标任务</w:t>
      </w:r>
      <w:r>
        <w:rPr>
          <w:rFonts w:ascii="宋体" w:hAnsi="宋体" w:eastAsia="宋体" w:cs="仿宋"/>
          <w:bCs/>
          <w:sz w:val="28"/>
          <w:szCs w:val="28"/>
        </w:rPr>
        <w:t>，排在全省第一方阵。</w:t>
      </w:r>
    </w:p>
    <w:p w14:paraId="1CE17D84">
      <w:pPr>
        <w:spacing w:line="396" w:lineRule="auto"/>
        <w:ind w:firstLine="560"/>
        <w:rPr>
          <w:rFonts w:ascii="宋体" w:hAnsi="宋体" w:eastAsia="宋体" w:cs="仿宋"/>
          <w:sz w:val="28"/>
          <w:szCs w:val="28"/>
        </w:rPr>
      </w:pPr>
      <w:r>
        <w:rPr>
          <w:rFonts w:hint="eastAsia" w:ascii="宋体" w:hAnsi="宋体" w:eastAsia="宋体" w:cs="仿宋"/>
          <w:sz w:val="28"/>
          <w:szCs w:val="28"/>
        </w:rPr>
        <w:t>4、</w:t>
      </w:r>
      <w:r>
        <w:rPr>
          <w:rFonts w:ascii="宋体" w:hAnsi="宋体" w:eastAsia="宋体" w:cs="仿宋"/>
          <w:bCs/>
          <w:sz w:val="28"/>
          <w:szCs w:val="28"/>
        </w:rPr>
        <w:t>深入开展“擦亮小城镇”建设美丽城镇行动，充分结合培育镇域“小老虎”，集中连片建设5个示范片区，提档升级18个小城镇品质</w:t>
      </w:r>
      <w:r>
        <w:rPr>
          <w:rFonts w:hint="eastAsia" w:ascii="宋体" w:hAnsi="宋体" w:eastAsia="宋体" w:cs="仿宋"/>
          <w:bCs/>
          <w:sz w:val="28"/>
          <w:szCs w:val="28"/>
        </w:rPr>
        <w:t>；</w:t>
      </w:r>
      <w:r>
        <w:rPr>
          <w:rFonts w:ascii="宋体" w:hAnsi="宋体" w:eastAsia="宋体" w:cs="仿宋"/>
          <w:bCs/>
          <w:sz w:val="28"/>
          <w:szCs w:val="28"/>
        </w:rPr>
        <w:t>开展农房安全隐患排查整治，累计排查农村房屋42万</w:t>
      </w:r>
      <w:r>
        <w:rPr>
          <w:rFonts w:hint="eastAsia" w:ascii="宋体" w:hAnsi="宋体" w:eastAsia="宋体" w:cs="仿宋"/>
          <w:bCs/>
          <w:sz w:val="28"/>
          <w:szCs w:val="28"/>
        </w:rPr>
        <w:t>余</w:t>
      </w:r>
      <w:r>
        <w:rPr>
          <w:rFonts w:ascii="宋体" w:hAnsi="宋体" w:eastAsia="宋体" w:cs="仿宋"/>
          <w:bCs/>
          <w:sz w:val="28"/>
          <w:szCs w:val="28"/>
        </w:rPr>
        <w:t>户，</w:t>
      </w:r>
      <w:r>
        <w:rPr>
          <w:rFonts w:ascii="宋体" w:hAnsi="宋体" w:eastAsia="宋体" w:cs="仿宋"/>
          <w:sz w:val="28"/>
          <w:szCs w:val="28"/>
        </w:rPr>
        <w:t>在全省率先实现849个行政村排查录入全覆盖，实现了“三清零”</w:t>
      </w:r>
      <w:r>
        <w:rPr>
          <w:rFonts w:hint="eastAsia" w:ascii="宋体" w:hAnsi="宋体" w:eastAsia="宋体" w:cs="仿宋"/>
          <w:sz w:val="28"/>
          <w:szCs w:val="28"/>
        </w:rPr>
        <w:t>；</w:t>
      </w:r>
      <w:r>
        <w:rPr>
          <w:rFonts w:ascii="宋体" w:hAnsi="宋体" w:eastAsia="宋体" w:cs="仿宋"/>
          <w:sz w:val="28"/>
          <w:szCs w:val="28"/>
        </w:rPr>
        <w:t>拨付农村危房改造资金1578万元</w:t>
      </w:r>
      <w:r>
        <w:rPr>
          <w:rFonts w:hint="eastAsia" w:ascii="宋体" w:hAnsi="宋体" w:eastAsia="宋体" w:cs="仿宋"/>
          <w:sz w:val="28"/>
          <w:szCs w:val="28"/>
        </w:rPr>
        <w:t>；</w:t>
      </w:r>
      <w:r>
        <w:rPr>
          <w:rFonts w:ascii="宋体" w:hAnsi="宋体" w:eastAsia="宋体" w:cs="仿宋"/>
          <w:bCs/>
          <w:sz w:val="28"/>
          <w:szCs w:val="28"/>
        </w:rPr>
        <w:t>强化4个传统村落“修旧如旧、挂牌保护”。</w:t>
      </w:r>
    </w:p>
    <w:p w14:paraId="52F0DA83">
      <w:pPr>
        <w:spacing w:line="396" w:lineRule="auto"/>
        <w:ind w:firstLine="560"/>
        <w:rPr>
          <w:rFonts w:ascii="宋体" w:hAnsi="宋体" w:eastAsia="宋体" w:cs="仿宋"/>
          <w:sz w:val="28"/>
          <w:szCs w:val="28"/>
        </w:rPr>
      </w:pPr>
      <w:r>
        <w:rPr>
          <w:rFonts w:hint="eastAsia" w:ascii="宋体" w:hAnsi="宋体" w:eastAsia="宋体" w:cs="仿宋"/>
          <w:sz w:val="28"/>
          <w:szCs w:val="28"/>
        </w:rPr>
        <w:t>5、</w:t>
      </w:r>
      <w:r>
        <w:rPr>
          <w:rFonts w:ascii="宋体" w:hAnsi="宋体" w:eastAsia="宋体" w:cs="仿宋"/>
          <w:sz w:val="28"/>
          <w:szCs w:val="28"/>
        </w:rPr>
        <w:t>行业监管持续发力，立案查处违法违规项目13个，</w:t>
      </w:r>
      <w:r>
        <w:rPr>
          <w:rFonts w:ascii="宋体" w:hAnsi="宋体" w:eastAsia="宋体" w:cs="仿宋"/>
          <w:bCs/>
          <w:sz w:val="28"/>
          <w:szCs w:val="28"/>
        </w:rPr>
        <w:t>下达停工、整改通知书323余份，</w:t>
      </w:r>
      <w:r>
        <w:rPr>
          <w:rFonts w:ascii="宋体" w:hAnsi="宋体" w:eastAsia="宋体" w:cs="仿宋"/>
          <w:sz w:val="28"/>
          <w:szCs w:val="28"/>
        </w:rPr>
        <w:t>约谈项目负责人11人。</w:t>
      </w:r>
      <w:r>
        <w:rPr>
          <w:rFonts w:ascii="宋体" w:hAnsi="宋体" w:eastAsia="宋体" w:cs="仿宋"/>
          <w:bCs/>
          <w:sz w:val="28"/>
          <w:szCs w:val="28"/>
        </w:rPr>
        <w:t>荣获省建筑结构优质工程、省建设优质工程21项</w:t>
      </w:r>
      <w:r>
        <w:rPr>
          <w:rFonts w:ascii="宋体" w:hAnsi="宋体" w:eastAsia="宋体" w:cs="仿宋"/>
          <w:sz w:val="28"/>
          <w:szCs w:val="28"/>
        </w:rPr>
        <w:t>。完成燃气安全隐患整改916条，</w:t>
      </w:r>
      <w:r>
        <w:rPr>
          <w:rFonts w:ascii="宋体" w:hAnsi="宋体" w:eastAsia="宋体" w:cs="仿宋"/>
          <w:bCs/>
          <w:sz w:val="28"/>
          <w:szCs w:val="28"/>
        </w:rPr>
        <w:t>加快“智慧住建”建设，建成覆盖住建领域6大信息系统47个子系统；投资100多万元，高标准建设住建信息指挥中心。第一次自然灾害综合风险普查、城镇房屋安全隐患排查和安全鉴定，市政设施普查进度100%；下达《危险房屋通知书》11份；办理鉴定业务205笔、面积10.3万平方米。</w:t>
      </w:r>
    </w:p>
    <w:p w14:paraId="270B1E19">
      <w:pPr>
        <w:spacing w:line="396" w:lineRule="auto"/>
        <w:ind w:firstLine="560"/>
        <w:rPr>
          <w:rFonts w:ascii="宋体" w:hAnsi="宋体" w:eastAsia="宋体" w:cs="仿宋"/>
          <w:sz w:val="28"/>
          <w:szCs w:val="28"/>
        </w:rPr>
      </w:pPr>
      <w:r>
        <w:rPr>
          <w:rFonts w:hint="eastAsia" w:ascii="宋体" w:hAnsi="宋体" w:eastAsia="宋体" w:cs="仿宋"/>
          <w:sz w:val="28"/>
          <w:szCs w:val="28"/>
        </w:rPr>
        <w:t>6、</w:t>
      </w:r>
      <w:r>
        <w:rPr>
          <w:rFonts w:ascii="宋体" w:hAnsi="宋体" w:eastAsia="宋体" w:cs="仿宋"/>
          <w:sz w:val="28"/>
          <w:szCs w:val="28"/>
        </w:rPr>
        <w:t>开展房地产市场专项检查，立案2起，下达整改通知书29份；全年商品房销售面积120.4万平方米，同比增长20.8%；完成房地产投资89.9亿元，同比增长54.5%。组建了4个矛盾化解工作专班，制定了“一项一策”工作方案。先后扶持2家建筑总承包企业、1家公路总承包企业和1家监理企业晋升一级资质，11家专业承包企业晋升二级资质，全年完成建筑业产值115亿元，同比增长6.6%。</w:t>
      </w:r>
    </w:p>
    <w:p w14:paraId="5C6D3408">
      <w:pPr>
        <w:spacing w:line="396" w:lineRule="auto"/>
        <w:ind w:firstLine="560"/>
        <w:rPr>
          <w:rFonts w:ascii="宋体" w:hAnsi="宋体" w:eastAsia="宋体" w:cs="仿宋"/>
          <w:bCs/>
          <w:sz w:val="28"/>
          <w:szCs w:val="28"/>
        </w:rPr>
      </w:pPr>
      <w:r>
        <w:rPr>
          <w:rFonts w:hint="eastAsia" w:ascii="宋体" w:hAnsi="宋体" w:eastAsia="宋体" w:cs="仿宋"/>
          <w:sz w:val="28"/>
          <w:szCs w:val="28"/>
        </w:rPr>
        <w:t>7、</w:t>
      </w:r>
      <w:r>
        <w:rPr>
          <w:rFonts w:ascii="宋体" w:hAnsi="宋体" w:eastAsia="宋体" w:cs="仿宋"/>
          <w:bCs/>
          <w:sz w:val="28"/>
          <w:szCs w:val="28"/>
        </w:rPr>
        <w:t>持续推进工程审批制度改革，审批事项从改革前138项精简为56项，审批时限率先在全省压缩至 “70、50、30、20”；落实“证照分离”改革各项任务，以告知承诺制方式审批发放建筑业企业资质证书116家，建筑工程安全生产许可证书延期83家；实施“清减降”行动，用水用气报装实现“零收费”，废止文件23件，修改4件，确认继续有效16件。推进扩权赋能强县工作，赋权随州高新区19项，下放街道办事处行政处罚权29项。</w:t>
      </w:r>
    </w:p>
    <w:p w14:paraId="0BE1BE30">
      <w:pPr>
        <w:spacing w:line="396" w:lineRule="auto"/>
        <w:ind w:firstLine="560"/>
        <w:rPr>
          <w:rFonts w:ascii="宋体" w:hAnsi="宋体" w:eastAsia="宋体" w:cs="仿宋"/>
          <w:bCs/>
          <w:sz w:val="28"/>
          <w:szCs w:val="28"/>
        </w:rPr>
      </w:pPr>
      <w:r>
        <w:rPr>
          <w:rFonts w:hint="eastAsia" w:ascii="宋体" w:hAnsi="宋体" w:eastAsia="宋体" w:cs="仿宋"/>
          <w:bCs/>
          <w:sz w:val="28"/>
          <w:szCs w:val="28"/>
        </w:rPr>
        <w:t>8、</w:t>
      </w:r>
      <w:r>
        <w:rPr>
          <w:rFonts w:ascii="宋体" w:hAnsi="宋体" w:eastAsia="宋体" w:cs="仿宋"/>
          <w:bCs/>
          <w:sz w:val="28"/>
          <w:szCs w:val="28"/>
        </w:rPr>
        <w:t>城市供水保障机制改革取得突出成效，妥善处理信访稳定问题，供水改革重组资产转让协议成功签订，</w:t>
      </w:r>
      <w:r>
        <w:rPr>
          <w:rFonts w:hint="eastAsia" w:ascii="宋体" w:hAnsi="宋体" w:eastAsia="宋体" w:cs="仿宋"/>
          <w:bCs/>
          <w:sz w:val="28"/>
          <w:szCs w:val="28"/>
        </w:rPr>
        <w:t>新组建</w:t>
      </w:r>
      <w:r>
        <w:rPr>
          <w:rFonts w:ascii="宋体" w:hAnsi="宋体" w:eastAsia="宋体" w:cs="仿宋"/>
          <w:bCs/>
          <w:sz w:val="28"/>
          <w:szCs w:val="28"/>
        </w:rPr>
        <w:t>成立随州市水务集团</w:t>
      </w:r>
      <w:r>
        <w:rPr>
          <w:rFonts w:hint="eastAsia" w:ascii="宋体" w:hAnsi="宋体" w:eastAsia="宋体" w:cs="仿宋"/>
          <w:bCs/>
          <w:sz w:val="28"/>
          <w:szCs w:val="28"/>
        </w:rPr>
        <w:t>，并</w:t>
      </w:r>
      <w:r>
        <w:rPr>
          <w:rFonts w:ascii="宋体" w:hAnsi="宋体" w:eastAsia="宋体" w:cs="仿宋"/>
          <w:bCs/>
          <w:sz w:val="28"/>
          <w:szCs w:val="28"/>
        </w:rPr>
        <w:t>正式</w:t>
      </w:r>
      <w:r>
        <w:rPr>
          <w:rFonts w:hint="eastAsia" w:ascii="宋体" w:hAnsi="宋体" w:eastAsia="宋体" w:cs="仿宋"/>
          <w:bCs/>
          <w:sz w:val="28"/>
          <w:szCs w:val="28"/>
        </w:rPr>
        <w:t>挂牌运营</w:t>
      </w:r>
      <w:r>
        <w:rPr>
          <w:rFonts w:ascii="宋体" w:hAnsi="宋体" w:eastAsia="宋体" w:cs="仿宋"/>
          <w:bCs/>
          <w:sz w:val="28"/>
          <w:szCs w:val="28"/>
        </w:rPr>
        <w:t>。稳妥推进住建领域国有企业公司制改革，有效化解了中房公司、住宅经营公司</w:t>
      </w:r>
      <w:r>
        <w:rPr>
          <w:rFonts w:hint="eastAsia" w:ascii="宋体" w:hAnsi="宋体" w:eastAsia="宋体" w:cs="仿宋"/>
          <w:bCs/>
          <w:sz w:val="28"/>
          <w:szCs w:val="28"/>
        </w:rPr>
        <w:t>等历史遗留问题。</w:t>
      </w:r>
    </w:p>
    <w:p w14:paraId="678F0FF6">
      <w:pPr>
        <w:spacing w:line="396" w:lineRule="auto"/>
        <w:ind w:firstLine="560"/>
        <w:rPr>
          <w:rFonts w:ascii="宋体" w:hAnsi="宋体" w:eastAsia="宋体" w:cs="仿宋"/>
          <w:sz w:val="28"/>
          <w:szCs w:val="28"/>
        </w:rPr>
      </w:pPr>
      <w:r>
        <w:rPr>
          <w:rFonts w:ascii="宋体" w:hAnsi="宋体" w:eastAsia="宋体" w:cs="仿宋"/>
          <w:sz w:val="28"/>
          <w:szCs w:val="28"/>
        </w:rPr>
        <w:fldChar w:fldCharType="begin"/>
      </w:r>
      <w:r>
        <w:rPr>
          <w:rFonts w:ascii="宋体" w:hAnsi="宋体" w:eastAsia="宋体" w:cs="仿宋"/>
          <w:sz w:val="28"/>
          <w:szCs w:val="28"/>
        </w:rPr>
        <w:instrText xml:space="preserve"> = 2 \* GB3 \* MERGEFORMAT </w:instrText>
      </w:r>
      <w:r>
        <w:rPr>
          <w:rFonts w:ascii="宋体" w:hAnsi="宋体" w:eastAsia="宋体" w:cs="仿宋"/>
          <w:sz w:val="28"/>
          <w:szCs w:val="28"/>
        </w:rPr>
        <w:fldChar w:fldCharType="separate"/>
      </w:r>
      <w:r>
        <w:rPr>
          <w:sz w:val="28"/>
          <w:szCs w:val="28"/>
        </w:rPr>
        <w:t>②</w:t>
      </w:r>
      <w:r>
        <w:rPr>
          <w:rFonts w:ascii="宋体" w:hAnsi="宋体" w:eastAsia="宋体" w:cs="仿宋"/>
          <w:sz w:val="28"/>
          <w:szCs w:val="28"/>
        </w:rPr>
        <w:fldChar w:fldCharType="end"/>
      </w:r>
      <w:r>
        <w:rPr>
          <w:rFonts w:hint="eastAsia" w:ascii="宋体" w:hAnsi="宋体" w:eastAsia="宋体" w:cs="仿宋"/>
          <w:sz w:val="28"/>
          <w:szCs w:val="28"/>
        </w:rPr>
        <w:t>未完成的绩效目标</w:t>
      </w:r>
    </w:p>
    <w:p w14:paraId="4256F015">
      <w:pPr>
        <w:numPr>
          <w:ilvl w:val="0"/>
          <w:numId w:val="1"/>
        </w:numPr>
        <w:spacing w:line="396" w:lineRule="auto"/>
        <w:ind w:firstLine="560"/>
        <w:rPr>
          <w:rFonts w:ascii="宋体" w:hAnsi="宋体" w:eastAsia="宋体" w:cs="仿宋"/>
          <w:sz w:val="28"/>
          <w:szCs w:val="28"/>
        </w:rPr>
      </w:pPr>
      <w:r>
        <w:rPr>
          <w:rFonts w:ascii="宋体" w:hAnsi="宋体" w:eastAsia="宋体" w:cs="仿宋"/>
          <w:sz w:val="28"/>
          <w:szCs w:val="28"/>
        </w:rPr>
        <w:t>全年实施城市重点工程建设项目未开工</w:t>
      </w:r>
      <w:r>
        <w:rPr>
          <w:rFonts w:hint="eastAsia" w:ascii="宋体" w:hAnsi="宋体" w:eastAsia="宋体" w:cs="仿宋"/>
          <w:sz w:val="28"/>
          <w:szCs w:val="28"/>
        </w:rPr>
        <w:t>17</w:t>
      </w:r>
      <w:r>
        <w:rPr>
          <w:rFonts w:ascii="宋体" w:hAnsi="宋体" w:eastAsia="宋体" w:cs="仿宋"/>
          <w:sz w:val="28"/>
          <w:szCs w:val="28"/>
        </w:rPr>
        <w:t>项</w:t>
      </w:r>
      <w:r>
        <w:rPr>
          <w:rFonts w:hint="eastAsia" w:ascii="宋体" w:hAnsi="宋体" w:eastAsia="宋体" w:cs="仿宋"/>
          <w:sz w:val="28"/>
          <w:szCs w:val="28"/>
        </w:rPr>
        <w:t>。</w:t>
      </w:r>
    </w:p>
    <w:p w14:paraId="48FCC60F">
      <w:pPr>
        <w:numPr>
          <w:ilvl w:val="0"/>
          <w:numId w:val="1"/>
        </w:numPr>
        <w:spacing w:line="396" w:lineRule="auto"/>
        <w:ind w:firstLine="560"/>
        <w:rPr>
          <w:rFonts w:ascii="宋体" w:hAnsi="宋体" w:eastAsia="宋体" w:cs="仿宋"/>
          <w:sz w:val="28"/>
          <w:szCs w:val="28"/>
        </w:rPr>
      </w:pPr>
      <w:r>
        <w:rPr>
          <w:rFonts w:ascii="宋体" w:hAnsi="宋体" w:eastAsia="宋体" w:cs="仿宋"/>
          <w:bCs/>
          <w:sz w:val="28"/>
          <w:szCs w:val="28"/>
        </w:rPr>
        <w:t>铁树、老火车站、草甸子等改造项目房屋征收工作，其中，铁树棚改签约率达95.3%</w:t>
      </w:r>
      <w:r>
        <w:rPr>
          <w:rFonts w:hint="eastAsia" w:ascii="宋体" w:hAnsi="宋体" w:eastAsia="宋体" w:cs="仿宋"/>
          <w:sz w:val="28"/>
          <w:szCs w:val="28"/>
        </w:rPr>
        <w:t>。</w:t>
      </w:r>
    </w:p>
    <w:p w14:paraId="63BDD1F5">
      <w:pPr>
        <w:numPr>
          <w:ilvl w:val="0"/>
          <w:numId w:val="1"/>
        </w:numPr>
        <w:spacing w:line="396" w:lineRule="auto"/>
        <w:ind w:firstLine="560"/>
        <w:rPr>
          <w:rFonts w:ascii="宋体" w:hAnsi="宋体" w:eastAsia="宋体" w:cs="仿宋"/>
          <w:sz w:val="28"/>
          <w:szCs w:val="28"/>
        </w:rPr>
      </w:pPr>
      <w:r>
        <w:rPr>
          <w:rFonts w:ascii="宋体" w:hAnsi="宋体" w:eastAsia="宋体" w:cs="仿宋"/>
          <w:bCs/>
          <w:sz w:val="28"/>
          <w:szCs w:val="28"/>
        </w:rPr>
        <w:t>开展农房安全隐患排查整治，</w:t>
      </w:r>
      <w:r>
        <w:rPr>
          <w:rFonts w:ascii="宋体" w:hAnsi="宋体" w:eastAsia="宋体" w:cs="仿宋"/>
          <w:sz w:val="28"/>
          <w:szCs w:val="28"/>
        </w:rPr>
        <w:t>房屋安全隐患平均整治率达82%</w:t>
      </w:r>
      <w:r>
        <w:rPr>
          <w:rFonts w:hint="eastAsia" w:ascii="宋体" w:hAnsi="宋体" w:eastAsia="宋体" w:cs="仿宋"/>
          <w:sz w:val="28"/>
          <w:szCs w:val="28"/>
        </w:rPr>
        <w:t>。</w:t>
      </w:r>
    </w:p>
    <w:p w14:paraId="1DD49BE1">
      <w:pPr>
        <w:numPr>
          <w:ilvl w:val="0"/>
          <w:numId w:val="1"/>
        </w:numPr>
        <w:spacing w:line="396" w:lineRule="auto"/>
        <w:ind w:firstLine="560"/>
        <w:rPr>
          <w:rFonts w:ascii="宋体" w:hAnsi="宋体" w:eastAsia="宋体" w:cs="仿宋"/>
          <w:sz w:val="28"/>
          <w:szCs w:val="28"/>
        </w:rPr>
      </w:pPr>
      <w:r>
        <w:rPr>
          <w:rFonts w:ascii="宋体" w:hAnsi="宋体" w:eastAsia="宋体" w:cs="仿宋"/>
          <w:bCs/>
          <w:sz w:val="28"/>
          <w:szCs w:val="28"/>
        </w:rPr>
        <w:t>自然灾害综合风险普查、城镇房屋安全隐患排查和安全鉴定，房屋调查进度91%</w:t>
      </w:r>
      <w:r>
        <w:rPr>
          <w:rFonts w:hint="eastAsia" w:ascii="宋体" w:hAnsi="宋体" w:eastAsia="宋体" w:cs="仿宋"/>
          <w:sz w:val="28"/>
          <w:szCs w:val="28"/>
        </w:rPr>
        <w:t>。</w:t>
      </w:r>
    </w:p>
    <w:p w14:paraId="5E5DC5CC">
      <w:pPr>
        <w:spacing w:line="396" w:lineRule="auto"/>
        <w:ind w:firstLine="560"/>
        <w:rPr>
          <w:rFonts w:ascii="宋体" w:hAnsi="宋体" w:eastAsia="宋体" w:cs="仿宋"/>
          <w:sz w:val="28"/>
          <w:szCs w:val="28"/>
        </w:rPr>
      </w:pPr>
      <w:r>
        <w:rPr>
          <w:rFonts w:ascii="宋体" w:hAnsi="宋体" w:eastAsia="宋体" w:cs="仿宋"/>
          <w:sz w:val="28"/>
          <w:szCs w:val="28"/>
        </w:rPr>
        <w:t>（三）存在的问题和原因</w:t>
      </w:r>
    </w:p>
    <w:p w14:paraId="2392614E">
      <w:pPr>
        <w:spacing w:line="396" w:lineRule="auto"/>
        <w:ind w:firstLine="640"/>
        <w:rPr>
          <w:rFonts w:ascii="宋体" w:hAnsi="宋体" w:eastAsia="宋体" w:cs="仿宋"/>
          <w:sz w:val="28"/>
          <w:szCs w:val="28"/>
        </w:rPr>
      </w:pPr>
      <w:r>
        <w:rPr>
          <w:rFonts w:hint="eastAsia" w:ascii="宋体" w:hAnsi="宋体" w:eastAsia="宋体" w:cs="仿宋"/>
          <w:sz w:val="28"/>
          <w:szCs w:val="28"/>
        </w:rPr>
        <w:t>1、严格按照预算编制的相关制度和要求进行预算编制，进一步提高预算编制的科学性、严谨性和可控性，严格区分财政拨款收支与非财政拨款收支。</w:t>
      </w:r>
    </w:p>
    <w:p w14:paraId="0FF4EB46">
      <w:pPr>
        <w:spacing w:line="396" w:lineRule="auto"/>
        <w:ind w:firstLine="560"/>
        <w:rPr>
          <w:rFonts w:ascii="宋体" w:hAnsi="宋体" w:eastAsia="宋体" w:cs="仿宋"/>
          <w:sz w:val="28"/>
          <w:szCs w:val="28"/>
        </w:rPr>
      </w:pPr>
      <w:r>
        <w:rPr>
          <w:rFonts w:hint="eastAsia" w:ascii="宋体" w:hAnsi="宋体" w:eastAsia="宋体" w:cs="仿宋"/>
          <w:sz w:val="28"/>
          <w:szCs w:val="28"/>
        </w:rPr>
        <w:t>2、</w:t>
      </w:r>
      <w:r>
        <w:rPr>
          <w:rFonts w:ascii="宋体" w:hAnsi="宋体" w:eastAsia="宋体" w:cs="仿宋"/>
          <w:sz w:val="28"/>
          <w:szCs w:val="28"/>
        </w:rPr>
        <w:t>城市重点工程项目存在涉及单位多、建设周期长、融资难、征收成本高等现实，加之协调联动机制尚未完全建立，导致重点项目统筹协调难度大、推进较慢</w:t>
      </w:r>
      <w:r>
        <w:rPr>
          <w:rFonts w:hint="eastAsia" w:ascii="宋体" w:hAnsi="宋体" w:eastAsia="宋体" w:cs="仿宋"/>
          <w:sz w:val="28"/>
          <w:szCs w:val="28"/>
        </w:rPr>
        <w:t>；</w:t>
      </w:r>
    </w:p>
    <w:p w14:paraId="65054FFD">
      <w:pPr>
        <w:spacing w:line="396" w:lineRule="auto"/>
        <w:ind w:firstLine="560"/>
        <w:rPr>
          <w:rFonts w:ascii="宋体" w:hAnsi="宋体" w:eastAsia="宋体" w:cs="仿宋"/>
          <w:sz w:val="28"/>
          <w:szCs w:val="28"/>
        </w:rPr>
      </w:pPr>
      <w:r>
        <w:rPr>
          <w:rFonts w:hint="eastAsia" w:ascii="宋体" w:hAnsi="宋体" w:eastAsia="宋体" w:cs="仿宋"/>
          <w:sz w:val="28"/>
          <w:szCs w:val="28"/>
        </w:rPr>
        <w:t>3、</w:t>
      </w:r>
      <w:r>
        <w:rPr>
          <w:rFonts w:ascii="宋体" w:hAnsi="宋体" w:eastAsia="宋体" w:cs="仿宋"/>
          <w:sz w:val="28"/>
          <w:szCs w:val="28"/>
        </w:rPr>
        <w:t>少数企业安全主体责任落实不到位，从业人员违章作业、冒险作业等现象时有发生，安全生产形势不容乐观；恒大等房地产项目风险防范化解以及相关改革问题处置难度大、化解时间长，信访维稳压力持续上升</w:t>
      </w:r>
      <w:r>
        <w:rPr>
          <w:rFonts w:hint="eastAsia" w:ascii="宋体" w:hAnsi="宋体" w:eastAsia="宋体" w:cs="仿宋"/>
          <w:sz w:val="28"/>
          <w:szCs w:val="28"/>
        </w:rPr>
        <w:t>；</w:t>
      </w:r>
    </w:p>
    <w:p w14:paraId="001EB746">
      <w:pPr>
        <w:spacing w:line="396" w:lineRule="auto"/>
        <w:ind w:firstLine="560"/>
        <w:rPr>
          <w:rFonts w:ascii="宋体" w:hAnsi="宋体" w:eastAsia="宋体" w:cs="仿宋"/>
          <w:sz w:val="28"/>
          <w:szCs w:val="28"/>
        </w:rPr>
      </w:pPr>
      <w:r>
        <w:rPr>
          <w:rFonts w:hint="eastAsia" w:ascii="宋体" w:hAnsi="宋体" w:eastAsia="宋体" w:cs="仿宋"/>
          <w:sz w:val="28"/>
          <w:szCs w:val="28"/>
        </w:rPr>
        <w:t>4、</w:t>
      </w:r>
      <w:r>
        <w:rPr>
          <w:rFonts w:ascii="宋体" w:hAnsi="宋体" w:eastAsia="宋体" w:cs="仿宋"/>
          <w:sz w:val="28"/>
          <w:szCs w:val="28"/>
        </w:rPr>
        <w:t>受国家宏观调控政策影响，部分房企面临严峻资金和销售压力，甚至出现烂尾风险；面临房地产开发项目减少、政府投资公共项目中标率低、重点骨干企业经营陷入困境等多重不利因素，建筑业</w:t>
      </w:r>
      <w:r>
        <w:rPr>
          <w:rFonts w:hint="eastAsia" w:ascii="宋体" w:hAnsi="宋体" w:eastAsia="宋体" w:cs="仿宋"/>
          <w:sz w:val="28"/>
          <w:szCs w:val="28"/>
        </w:rPr>
        <w:t>转型升级受阻；</w:t>
      </w:r>
    </w:p>
    <w:p w14:paraId="6ACD53AC">
      <w:pPr>
        <w:spacing w:line="396" w:lineRule="auto"/>
        <w:ind w:firstLine="560"/>
        <w:rPr>
          <w:rFonts w:ascii="宋体" w:hAnsi="宋体" w:eastAsia="宋体"/>
          <w:sz w:val="28"/>
          <w:szCs w:val="28"/>
        </w:rPr>
      </w:pPr>
      <w:r>
        <w:rPr>
          <w:rFonts w:hint="eastAsia" w:ascii="宋体" w:hAnsi="宋体" w:eastAsia="宋体" w:cs="仿宋"/>
          <w:sz w:val="28"/>
          <w:szCs w:val="28"/>
        </w:rPr>
        <w:t>5、</w:t>
      </w:r>
      <w:r>
        <w:rPr>
          <w:rFonts w:ascii="宋体" w:hAnsi="宋体" w:eastAsia="宋体" w:cs="仿宋"/>
          <w:sz w:val="28"/>
          <w:szCs w:val="28"/>
        </w:rPr>
        <w:t>人才队伍建设跟不上高质量发展要求。</w:t>
      </w:r>
      <w:r>
        <w:rPr>
          <w:rFonts w:ascii="宋体" w:hAnsi="宋体" w:eastAsia="宋体" w:cs="仿宋"/>
          <w:bCs/>
          <w:sz w:val="28"/>
          <w:szCs w:val="28"/>
        </w:rPr>
        <w:t>市政、设计、消防等专业技术领军人才缺乏，亟需引进一批领军人才；住建干部队伍年龄老化</w:t>
      </w:r>
      <w:r>
        <w:rPr>
          <w:rFonts w:ascii="宋体" w:hAnsi="宋体" w:eastAsia="宋体"/>
          <w:sz w:val="28"/>
          <w:szCs w:val="28"/>
        </w:rPr>
        <w:t>。</w:t>
      </w:r>
    </w:p>
    <w:p w14:paraId="751A7943">
      <w:pPr>
        <w:spacing w:line="396" w:lineRule="auto"/>
        <w:ind w:firstLine="560"/>
        <w:rPr>
          <w:rFonts w:ascii="宋体" w:hAnsi="宋体" w:eastAsia="宋体"/>
          <w:sz w:val="28"/>
          <w:szCs w:val="28"/>
        </w:rPr>
      </w:pPr>
      <w:r>
        <w:rPr>
          <w:rFonts w:hint="eastAsia" w:ascii="宋体" w:hAnsi="宋体" w:eastAsia="宋体"/>
          <w:sz w:val="28"/>
          <w:szCs w:val="28"/>
        </w:rPr>
        <w:t>6、</w:t>
      </w:r>
      <w:r>
        <w:rPr>
          <w:rFonts w:ascii="宋体" w:hAnsi="宋体" w:eastAsia="宋体"/>
          <w:sz w:val="28"/>
          <w:szCs w:val="28"/>
        </w:rPr>
        <w:t>少数干部思想解放不</w:t>
      </w:r>
      <w:r>
        <w:rPr>
          <w:rFonts w:ascii="宋体" w:hAnsi="宋体" w:eastAsia="宋体"/>
          <w:bCs/>
          <w:sz w:val="28"/>
          <w:szCs w:val="28"/>
        </w:rPr>
        <w:t>够，对城市发展新理念、新要求掌握不够，城乡建设视野不够开阔。</w:t>
      </w:r>
    </w:p>
    <w:p w14:paraId="44D4F04C">
      <w:pPr>
        <w:spacing w:line="396" w:lineRule="auto"/>
        <w:ind w:firstLine="560"/>
        <w:rPr>
          <w:rFonts w:ascii="宋体" w:hAnsi="宋体" w:eastAsia="宋体"/>
          <w:sz w:val="28"/>
          <w:szCs w:val="28"/>
        </w:rPr>
      </w:pPr>
      <w:r>
        <w:rPr>
          <w:rFonts w:ascii="宋体" w:hAnsi="宋体" w:eastAsia="宋体" w:cs="仿宋"/>
          <w:sz w:val="28"/>
          <w:szCs w:val="28"/>
        </w:rPr>
        <w:t>（四）</w:t>
      </w:r>
      <w:r>
        <w:rPr>
          <w:rFonts w:ascii="宋体" w:hAnsi="宋体" w:eastAsia="宋体"/>
          <w:sz w:val="28"/>
          <w:szCs w:val="28"/>
        </w:rPr>
        <w:t>下一步拟改进措施</w:t>
      </w:r>
    </w:p>
    <w:p w14:paraId="31EC3E63">
      <w:pPr>
        <w:spacing w:line="396" w:lineRule="auto"/>
        <w:ind w:firstLine="560"/>
        <w:rPr>
          <w:rFonts w:ascii="宋体" w:hAnsi="宋体" w:eastAsia="宋体" w:cs="仿宋"/>
          <w:sz w:val="28"/>
          <w:szCs w:val="28"/>
        </w:rPr>
      </w:pPr>
      <w:r>
        <w:rPr>
          <w:rFonts w:hint="eastAsia" w:ascii="宋体" w:hAnsi="宋体" w:eastAsia="宋体" w:cs="仿宋"/>
          <w:sz w:val="28"/>
          <w:szCs w:val="28"/>
        </w:rPr>
        <w:t>加强预算编制的前瞻性，建议按照新《预算法》及其实施条例的相关规定，按政策规定及本部门的发展规划，结合上一年度预算执行情况和本年度预算收支变化因素，科学、合理地编制</w:t>
      </w:r>
      <w:r>
        <w:rPr>
          <w:rFonts w:hint="eastAsia" w:ascii="宋体" w:hAnsi="宋体" w:eastAsia="宋体" w:cs="仿宋"/>
          <w:sz w:val="28"/>
          <w:szCs w:val="28"/>
          <w:lang w:eastAsia="zh-CN"/>
        </w:rPr>
        <w:t>下一年度</w:t>
      </w:r>
      <w:r>
        <w:rPr>
          <w:rFonts w:hint="eastAsia" w:ascii="宋体" w:hAnsi="宋体" w:eastAsia="宋体" w:cs="仿宋"/>
          <w:sz w:val="28"/>
          <w:szCs w:val="28"/>
        </w:rPr>
        <w:t>预算草案，避免项目支出与基本支出划分不准或预算支出与实际执行出现较大偏差的情况，执行中确需调剂预算的，按规定程序报经批准，避免因预算经费不足导致考核指标严重超标。</w:t>
      </w:r>
    </w:p>
    <w:p w14:paraId="105BB507">
      <w:pPr>
        <w:spacing w:line="396" w:lineRule="auto"/>
        <w:ind w:firstLine="560"/>
        <w:rPr>
          <w:rFonts w:ascii="宋体" w:hAnsi="宋体" w:eastAsia="宋体"/>
          <w:sz w:val="28"/>
          <w:szCs w:val="28"/>
        </w:rPr>
      </w:pPr>
      <w:r>
        <w:rPr>
          <w:rFonts w:ascii="宋体" w:hAnsi="宋体" w:eastAsia="宋体"/>
          <w:sz w:val="28"/>
          <w:szCs w:val="28"/>
        </w:rPr>
        <w:t>附件：</w:t>
      </w:r>
      <w:r>
        <w:rPr>
          <w:rFonts w:hint="eastAsia" w:ascii="宋体" w:hAnsi="宋体" w:eastAsia="宋体"/>
          <w:sz w:val="28"/>
          <w:szCs w:val="28"/>
        </w:rPr>
        <w:t>2021</w:t>
      </w:r>
      <w:r>
        <w:rPr>
          <w:rFonts w:ascii="宋体" w:hAnsi="宋体" w:eastAsia="宋体"/>
          <w:sz w:val="28"/>
          <w:szCs w:val="28"/>
        </w:rPr>
        <w:t>年度</w:t>
      </w:r>
      <w:r>
        <w:rPr>
          <w:rFonts w:hint="eastAsia" w:ascii="宋体" w:hAnsi="宋体" w:eastAsia="宋体"/>
          <w:sz w:val="28"/>
          <w:szCs w:val="28"/>
        </w:rPr>
        <w:t>随州市住房和城乡建设局</w:t>
      </w:r>
      <w:r>
        <w:rPr>
          <w:rFonts w:ascii="宋体" w:hAnsi="宋体" w:eastAsia="宋体"/>
          <w:sz w:val="28"/>
          <w:szCs w:val="28"/>
        </w:rPr>
        <w:t>部门整体部门自评表（附后）</w:t>
      </w:r>
    </w:p>
    <w:p w14:paraId="23CA5140">
      <w:pPr>
        <w:spacing w:line="396" w:lineRule="auto"/>
        <w:ind w:firstLine="562"/>
        <w:rPr>
          <w:rFonts w:ascii="宋体" w:hAnsi="宋体" w:eastAsia="宋体" w:cs="仿宋"/>
          <w:b/>
          <w:sz w:val="28"/>
          <w:szCs w:val="28"/>
        </w:rPr>
      </w:pPr>
      <w:r>
        <w:rPr>
          <w:rFonts w:ascii="宋体" w:hAnsi="宋体" w:eastAsia="宋体" w:cs="仿宋"/>
          <w:b/>
          <w:sz w:val="28"/>
          <w:szCs w:val="28"/>
        </w:rPr>
        <w:t>二、佐证材料</w:t>
      </w:r>
    </w:p>
    <w:p w14:paraId="670FDA27">
      <w:pPr>
        <w:spacing w:line="396" w:lineRule="auto"/>
        <w:ind w:firstLine="562"/>
        <w:rPr>
          <w:rFonts w:ascii="宋体" w:hAnsi="宋体" w:eastAsia="宋体" w:cs="仿宋"/>
          <w:b/>
          <w:sz w:val="28"/>
          <w:szCs w:val="28"/>
        </w:rPr>
      </w:pPr>
      <w:r>
        <w:rPr>
          <w:rFonts w:ascii="宋体" w:hAnsi="宋体" w:eastAsia="宋体" w:cs="仿宋"/>
          <w:b/>
          <w:sz w:val="28"/>
          <w:szCs w:val="28"/>
        </w:rPr>
        <w:t>（一）基本情况</w:t>
      </w:r>
    </w:p>
    <w:p w14:paraId="43AEA0C8">
      <w:pPr>
        <w:pStyle w:val="189"/>
        <w:spacing w:line="396" w:lineRule="auto"/>
        <w:ind w:firstLine="560"/>
        <w:rPr>
          <w:rFonts w:ascii="宋体" w:hAnsi="宋体" w:eastAsia="宋体"/>
          <w:sz w:val="28"/>
          <w:szCs w:val="28"/>
        </w:rPr>
      </w:pPr>
      <w:r>
        <w:rPr>
          <w:rFonts w:ascii="宋体" w:hAnsi="宋体" w:eastAsia="宋体" w:cs="仿宋"/>
          <w:sz w:val="28"/>
          <w:szCs w:val="28"/>
        </w:rPr>
        <w:t>1</w:t>
      </w:r>
      <w:r>
        <w:rPr>
          <w:rFonts w:hint="eastAsia" w:ascii="宋体" w:hAnsi="宋体" w:eastAsia="宋体" w:cs="仿宋"/>
          <w:sz w:val="28"/>
          <w:szCs w:val="28"/>
        </w:rPr>
        <w:t>、人员情况：2021年底在职人数42人，其中：市住建局机关编制37个，非参公事业人员5人。离休1人。</w:t>
      </w:r>
      <w:r>
        <w:rPr>
          <w:rFonts w:hint="eastAsia" w:ascii="宋体" w:hAnsi="宋体" w:eastAsia="宋体"/>
          <w:sz w:val="28"/>
          <w:szCs w:val="28"/>
        </w:rPr>
        <w:t xml:space="preserve"> </w:t>
      </w:r>
    </w:p>
    <w:p w14:paraId="793EA1B1">
      <w:pPr>
        <w:spacing w:line="396" w:lineRule="auto"/>
        <w:ind w:firstLine="562"/>
        <w:rPr>
          <w:rFonts w:ascii="宋体" w:hAnsi="宋体" w:eastAsia="宋体" w:cs="宋体"/>
          <w:bCs/>
          <w:sz w:val="28"/>
          <w:szCs w:val="28"/>
        </w:rPr>
      </w:pPr>
      <w:r>
        <w:rPr>
          <w:rFonts w:hint="eastAsia" w:ascii="宋体" w:hAnsi="宋体" w:eastAsia="宋体" w:cs="宋体"/>
          <w:b/>
          <w:bCs/>
          <w:sz w:val="28"/>
          <w:szCs w:val="28"/>
        </w:rPr>
        <w:t>2、</w:t>
      </w:r>
      <w:r>
        <w:rPr>
          <w:rFonts w:hint="eastAsia" w:ascii="宋体" w:hAnsi="宋体" w:eastAsia="宋体" w:cs="宋体"/>
          <w:bCs/>
          <w:sz w:val="28"/>
          <w:szCs w:val="28"/>
        </w:rPr>
        <w:t>部门支出基本情况</w:t>
      </w:r>
    </w:p>
    <w:p w14:paraId="1828D595">
      <w:pPr>
        <w:spacing w:line="396" w:lineRule="auto"/>
        <w:ind w:firstLine="560"/>
        <w:rPr>
          <w:rFonts w:ascii="宋体" w:hAnsi="宋体" w:eastAsia="宋体" w:cs="宋体"/>
          <w:bCs/>
          <w:sz w:val="28"/>
          <w:szCs w:val="28"/>
        </w:rPr>
      </w:pPr>
      <w:r>
        <w:rPr>
          <w:rFonts w:ascii="宋体" w:hAnsi="宋体" w:eastAsia="宋体" w:cs="宋体"/>
          <w:bCs/>
          <w:sz w:val="28"/>
          <w:szCs w:val="28"/>
        </w:rPr>
        <w:t>2021</w:t>
      </w:r>
      <w:r>
        <w:rPr>
          <w:rFonts w:hint="eastAsia" w:ascii="宋体" w:hAnsi="宋体" w:eastAsia="宋体" w:cs="宋体"/>
          <w:bCs/>
          <w:sz w:val="28"/>
          <w:szCs w:val="28"/>
        </w:rPr>
        <w:t>年部门整体支出总额3338.21万元，按支出性质分：基本支出1445.15万元（其中人员支出</w:t>
      </w:r>
      <w:r>
        <w:rPr>
          <w:rFonts w:ascii="宋体" w:hAnsi="宋体" w:eastAsia="宋体" w:cs="宋体"/>
          <w:bCs/>
          <w:sz w:val="28"/>
          <w:szCs w:val="28"/>
        </w:rPr>
        <w:t>1</w:t>
      </w:r>
      <w:r>
        <w:rPr>
          <w:rFonts w:hint="eastAsia" w:ascii="宋体" w:hAnsi="宋体" w:eastAsia="宋体" w:cs="宋体"/>
          <w:bCs/>
          <w:sz w:val="28"/>
          <w:szCs w:val="28"/>
        </w:rPr>
        <w:t>068.11万元，日常公用支出377.04万元），项目支出1893.06万元。按经济分类分：工资福利支出1011.44万元；商品和服务支出170.41万元; 对个人和家庭的补助支出56.68万元; 资本性支出48.3万元，其他支出2051.39万元。</w:t>
      </w:r>
    </w:p>
    <w:p w14:paraId="22A1C073">
      <w:pPr>
        <w:spacing w:line="396" w:lineRule="auto"/>
        <w:ind w:firstLine="560"/>
        <w:rPr>
          <w:rFonts w:ascii="宋体" w:hAnsi="宋体" w:eastAsia="宋体" w:cs="宋体"/>
          <w:bCs/>
          <w:sz w:val="28"/>
          <w:szCs w:val="28"/>
        </w:rPr>
      </w:pPr>
      <w:r>
        <w:rPr>
          <w:rFonts w:hint="eastAsia" w:ascii="宋体" w:hAnsi="宋体" w:eastAsia="宋体" w:cs="宋体"/>
          <w:bCs/>
          <w:sz w:val="28"/>
          <w:szCs w:val="28"/>
        </w:rPr>
        <w:t>2021年度完成了政府交办的各项任务。</w:t>
      </w:r>
    </w:p>
    <w:p w14:paraId="4C1BCF3F">
      <w:pPr>
        <w:spacing w:line="396" w:lineRule="auto"/>
        <w:ind w:firstLine="562"/>
        <w:rPr>
          <w:rFonts w:ascii="宋体" w:hAnsi="宋体" w:eastAsia="宋体" w:cs="宋体"/>
          <w:b/>
          <w:bCs/>
          <w:sz w:val="28"/>
          <w:szCs w:val="28"/>
        </w:rPr>
      </w:pPr>
      <w:r>
        <w:rPr>
          <w:rFonts w:hint="eastAsia" w:ascii="宋体" w:hAnsi="宋体" w:eastAsia="宋体" w:cs="宋体"/>
          <w:b/>
          <w:bCs/>
          <w:sz w:val="28"/>
          <w:szCs w:val="28"/>
        </w:rPr>
        <w:t>3、2021</w:t>
      </w:r>
      <w:r>
        <w:rPr>
          <w:rFonts w:ascii="宋体" w:hAnsi="宋体" w:eastAsia="宋体" w:cs="宋体"/>
          <w:b/>
          <w:bCs/>
          <w:sz w:val="28"/>
          <w:szCs w:val="28"/>
        </w:rPr>
        <w:t>年度部门整体绩效目标</w:t>
      </w:r>
      <w:r>
        <w:rPr>
          <w:rFonts w:hint="eastAsia" w:ascii="宋体" w:hAnsi="宋体" w:eastAsia="宋体" w:cs="宋体"/>
          <w:b/>
          <w:bCs/>
          <w:sz w:val="28"/>
          <w:szCs w:val="28"/>
        </w:rPr>
        <w:t>情况</w:t>
      </w:r>
    </w:p>
    <w:p w14:paraId="4B069CC4">
      <w:pPr>
        <w:spacing w:line="396" w:lineRule="auto"/>
        <w:ind w:firstLine="560"/>
        <w:rPr>
          <w:rFonts w:ascii="宋体" w:hAnsi="宋体" w:eastAsia="宋体" w:cs="宋体"/>
          <w:bCs/>
          <w:sz w:val="28"/>
          <w:szCs w:val="28"/>
        </w:rPr>
      </w:pPr>
      <w:r>
        <w:rPr>
          <w:rFonts w:hint="eastAsia" w:ascii="宋体" w:hAnsi="宋体" w:eastAsia="宋体" w:cs="宋体"/>
          <w:bCs/>
          <w:sz w:val="28"/>
          <w:szCs w:val="28"/>
        </w:rPr>
        <w:t>（1）</w:t>
      </w:r>
      <w:r>
        <w:rPr>
          <w:rFonts w:ascii="宋体" w:hAnsi="宋体" w:eastAsia="宋体" w:cs="宋体"/>
          <w:bCs/>
          <w:sz w:val="28"/>
          <w:szCs w:val="28"/>
        </w:rPr>
        <w:t>城市功能不断完善</w:t>
      </w:r>
      <w:r>
        <w:rPr>
          <w:rFonts w:hint="eastAsia" w:ascii="宋体" w:hAnsi="宋体" w:eastAsia="宋体" w:cs="宋体"/>
          <w:bCs/>
          <w:sz w:val="28"/>
          <w:szCs w:val="28"/>
        </w:rPr>
        <w:t>；</w:t>
      </w:r>
    </w:p>
    <w:p w14:paraId="5DE8DB72">
      <w:pPr>
        <w:spacing w:line="396" w:lineRule="auto"/>
        <w:ind w:firstLine="560"/>
        <w:rPr>
          <w:rFonts w:ascii="宋体" w:hAnsi="宋体" w:eastAsia="宋体" w:cs="宋体"/>
          <w:bCs/>
          <w:sz w:val="28"/>
          <w:szCs w:val="28"/>
        </w:rPr>
      </w:pPr>
      <w:r>
        <w:rPr>
          <w:rFonts w:hint="eastAsia" w:ascii="宋体" w:hAnsi="宋体" w:eastAsia="宋体" w:cs="宋体"/>
          <w:bCs/>
          <w:sz w:val="28"/>
          <w:szCs w:val="28"/>
        </w:rPr>
        <w:t>（2）</w:t>
      </w:r>
      <w:r>
        <w:rPr>
          <w:rFonts w:ascii="宋体" w:hAnsi="宋体" w:eastAsia="宋体" w:cs="宋体"/>
          <w:bCs/>
          <w:sz w:val="28"/>
          <w:szCs w:val="28"/>
        </w:rPr>
        <w:t>民生保障坚实有力</w:t>
      </w:r>
      <w:r>
        <w:rPr>
          <w:rFonts w:hint="eastAsia" w:ascii="宋体" w:hAnsi="宋体" w:eastAsia="宋体" w:cs="宋体"/>
          <w:bCs/>
          <w:sz w:val="28"/>
          <w:szCs w:val="28"/>
        </w:rPr>
        <w:t>；</w:t>
      </w:r>
    </w:p>
    <w:p w14:paraId="1E499EE4">
      <w:pPr>
        <w:spacing w:line="396" w:lineRule="auto"/>
        <w:ind w:firstLine="560"/>
        <w:rPr>
          <w:rFonts w:ascii="宋体" w:hAnsi="宋体" w:eastAsia="宋体" w:cs="宋体"/>
          <w:bCs/>
          <w:sz w:val="28"/>
          <w:szCs w:val="28"/>
        </w:rPr>
      </w:pPr>
      <w:r>
        <w:rPr>
          <w:rFonts w:hint="eastAsia" w:ascii="宋体" w:hAnsi="宋体" w:eastAsia="宋体" w:cs="宋体"/>
          <w:bCs/>
          <w:sz w:val="28"/>
          <w:szCs w:val="28"/>
        </w:rPr>
        <w:t>（3）城市生态巩固提升；</w:t>
      </w:r>
    </w:p>
    <w:p w14:paraId="038DA45E">
      <w:pPr>
        <w:spacing w:line="396" w:lineRule="auto"/>
        <w:ind w:firstLine="560"/>
        <w:rPr>
          <w:rFonts w:ascii="宋体" w:hAnsi="宋体" w:eastAsia="宋体" w:cs="宋体"/>
          <w:bCs/>
          <w:sz w:val="28"/>
          <w:szCs w:val="28"/>
        </w:rPr>
      </w:pPr>
      <w:r>
        <w:rPr>
          <w:rFonts w:hint="eastAsia" w:ascii="宋体" w:hAnsi="宋体" w:eastAsia="宋体" w:cs="宋体"/>
          <w:bCs/>
          <w:sz w:val="28"/>
          <w:szCs w:val="28"/>
        </w:rPr>
        <w:t>（4）村镇建设特色彰显；</w:t>
      </w:r>
    </w:p>
    <w:p w14:paraId="05F5BA78">
      <w:pPr>
        <w:spacing w:line="396" w:lineRule="auto"/>
        <w:ind w:firstLine="560"/>
        <w:rPr>
          <w:rFonts w:ascii="宋体" w:hAnsi="宋体" w:eastAsia="宋体" w:cs="宋体"/>
          <w:bCs/>
          <w:sz w:val="28"/>
          <w:szCs w:val="28"/>
        </w:rPr>
      </w:pPr>
      <w:r>
        <w:rPr>
          <w:rFonts w:hint="eastAsia" w:ascii="宋体" w:hAnsi="宋体" w:eastAsia="宋体" w:cs="宋体"/>
          <w:bCs/>
          <w:sz w:val="28"/>
          <w:szCs w:val="28"/>
        </w:rPr>
        <w:t>（5）行业监管持续发力；</w:t>
      </w:r>
    </w:p>
    <w:p w14:paraId="5E8AE8FF">
      <w:pPr>
        <w:spacing w:line="396" w:lineRule="auto"/>
        <w:ind w:firstLine="560"/>
        <w:rPr>
          <w:rFonts w:ascii="宋体" w:hAnsi="宋体" w:eastAsia="宋体" w:cs="宋体"/>
          <w:bCs/>
          <w:sz w:val="28"/>
          <w:szCs w:val="28"/>
        </w:rPr>
      </w:pPr>
      <w:r>
        <w:rPr>
          <w:rFonts w:hint="eastAsia" w:ascii="宋体" w:hAnsi="宋体" w:eastAsia="宋体" w:cs="宋体"/>
          <w:bCs/>
          <w:sz w:val="28"/>
          <w:szCs w:val="28"/>
        </w:rPr>
        <w:t>（6）产业发展克难求进；</w:t>
      </w:r>
    </w:p>
    <w:p w14:paraId="4AF10E8F">
      <w:pPr>
        <w:spacing w:line="396" w:lineRule="auto"/>
        <w:ind w:firstLine="560"/>
        <w:rPr>
          <w:rFonts w:ascii="宋体" w:hAnsi="宋体" w:eastAsia="宋体" w:cs="宋体"/>
          <w:bCs/>
          <w:sz w:val="28"/>
          <w:szCs w:val="28"/>
        </w:rPr>
      </w:pPr>
      <w:r>
        <w:rPr>
          <w:rFonts w:hint="eastAsia" w:ascii="宋体" w:hAnsi="宋体" w:eastAsia="宋体" w:cs="宋体"/>
          <w:bCs/>
          <w:sz w:val="28"/>
          <w:szCs w:val="28"/>
        </w:rPr>
        <w:t>（7）营商环境提质增效。</w:t>
      </w:r>
    </w:p>
    <w:p w14:paraId="188B8928">
      <w:pPr>
        <w:spacing w:line="396" w:lineRule="auto"/>
        <w:ind w:firstLine="562"/>
        <w:rPr>
          <w:rFonts w:ascii="宋体" w:hAnsi="宋体" w:eastAsia="宋体"/>
          <w:b/>
          <w:sz w:val="28"/>
          <w:szCs w:val="28"/>
        </w:rPr>
      </w:pPr>
      <w:r>
        <w:rPr>
          <w:rFonts w:ascii="宋体" w:hAnsi="宋体" w:eastAsia="宋体"/>
          <w:b/>
          <w:sz w:val="28"/>
          <w:szCs w:val="28"/>
        </w:rPr>
        <w:t>（二）部门自评工作开展情况</w:t>
      </w:r>
    </w:p>
    <w:p w14:paraId="7901541F">
      <w:pPr>
        <w:tabs>
          <w:tab w:val="center" w:pos="4153"/>
        </w:tabs>
        <w:spacing w:line="396" w:lineRule="auto"/>
        <w:ind w:firstLine="560"/>
        <w:rPr>
          <w:rFonts w:ascii="宋体" w:hAnsi="宋体" w:eastAsia="宋体" w:cs="仿宋"/>
          <w:sz w:val="28"/>
          <w:szCs w:val="28"/>
        </w:rPr>
      </w:pPr>
      <w:r>
        <w:rPr>
          <w:rFonts w:hint="eastAsia" w:ascii="宋体" w:hAnsi="宋体" w:eastAsia="宋体" w:cs="楷体"/>
          <w:sz w:val="28"/>
          <w:szCs w:val="28"/>
        </w:rPr>
        <w:t>1、充分准备前期工作。我单位</w:t>
      </w:r>
      <w:r>
        <w:rPr>
          <w:rFonts w:hint="eastAsia" w:ascii="宋体" w:hAnsi="宋体" w:eastAsia="宋体" w:cs="仿宋"/>
          <w:sz w:val="28"/>
          <w:szCs w:val="28"/>
        </w:rPr>
        <w:t>成立了2021年度绩效评价工作领导小组。以局长为组长，分管领导为副组长，各科室负责人为成员的绩效评价工作领导小组，抽调专人组建工作专班，具体负责绩效评价工作。根据绩效自评工作要求，制定了2021年度绩效评价工作方案，对绩效评价工作的时间、步骤、措施等提出了具体要求。</w:t>
      </w:r>
    </w:p>
    <w:p w14:paraId="7201F2C3">
      <w:pPr>
        <w:tabs>
          <w:tab w:val="center" w:pos="4153"/>
        </w:tabs>
        <w:spacing w:line="396" w:lineRule="auto"/>
        <w:ind w:firstLine="560"/>
        <w:rPr>
          <w:rFonts w:ascii="宋体" w:hAnsi="宋体" w:eastAsia="宋体" w:cs="楷体"/>
          <w:sz w:val="28"/>
          <w:szCs w:val="28"/>
        </w:rPr>
      </w:pPr>
      <w:r>
        <w:rPr>
          <w:rFonts w:hint="eastAsia" w:ascii="宋体" w:hAnsi="宋体" w:eastAsia="宋体" w:cs="楷体"/>
          <w:sz w:val="28"/>
          <w:szCs w:val="28"/>
        </w:rPr>
        <w:t>2、精心组织绩效评价。</w:t>
      </w:r>
      <w:r>
        <w:rPr>
          <w:rFonts w:hint="eastAsia" w:ascii="宋体" w:hAnsi="宋体" w:eastAsia="宋体" w:cs="仿宋"/>
          <w:sz w:val="28"/>
          <w:szCs w:val="28"/>
        </w:rPr>
        <w:t>随州市住房和城乡建设局2021年度绩效评价工作领导小组成员对绩效评价文件和相关政策依据进行了深入学习，了解绩效评份工作的重要性和必要性。由工作专班按照绩效评价工作方案的要求精心组织实施，搜集相关资料，查阅相关表格，核实相关数据，扎扎实实开展绩效自评工作。</w:t>
      </w:r>
    </w:p>
    <w:p w14:paraId="36CC8DD8">
      <w:pPr>
        <w:tabs>
          <w:tab w:val="center" w:pos="4153"/>
        </w:tabs>
        <w:spacing w:line="396" w:lineRule="auto"/>
        <w:ind w:firstLine="560"/>
        <w:rPr>
          <w:rFonts w:ascii="宋体" w:hAnsi="宋体" w:eastAsia="宋体" w:cs="仿宋"/>
          <w:sz w:val="28"/>
          <w:szCs w:val="28"/>
        </w:rPr>
      </w:pPr>
      <w:r>
        <w:rPr>
          <w:rFonts w:hint="eastAsia" w:ascii="宋体" w:hAnsi="宋体" w:eastAsia="宋体" w:cs="楷体"/>
          <w:sz w:val="28"/>
          <w:szCs w:val="28"/>
        </w:rPr>
        <w:t>3、综合分析自评报告。</w:t>
      </w:r>
      <w:r>
        <w:rPr>
          <w:rFonts w:hint="eastAsia" w:ascii="宋体" w:hAnsi="宋体" w:eastAsia="宋体" w:cs="仿宋"/>
          <w:sz w:val="28"/>
          <w:szCs w:val="28"/>
        </w:rPr>
        <w:t>绩效评价工作专班将采集的自评相关基础数据和资料进行整理汇总，并以预算申报的绩效目标为基础，根据公正公开、分组分类的原则，结合决算数据，对本年度实际的产出指标和效益指标进行分析，比较预算绩效目标完成情况，详细分析原因，提出建议，形成自评报告。</w:t>
      </w:r>
    </w:p>
    <w:p w14:paraId="2357D43D">
      <w:pPr>
        <w:spacing w:line="396" w:lineRule="auto"/>
        <w:ind w:firstLine="562"/>
        <w:rPr>
          <w:rFonts w:ascii="宋体" w:hAnsi="宋体" w:eastAsia="宋体"/>
          <w:b/>
          <w:sz w:val="28"/>
          <w:szCs w:val="28"/>
        </w:rPr>
      </w:pPr>
      <w:r>
        <w:rPr>
          <w:rFonts w:ascii="宋体" w:hAnsi="宋体" w:eastAsia="宋体"/>
          <w:b/>
          <w:sz w:val="28"/>
          <w:szCs w:val="28"/>
        </w:rPr>
        <w:t>（三）绩效目标完成情况分析</w:t>
      </w:r>
    </w:p>
    <w:p w14:paraId="4DF3E316">
      <w:pPr>
        <w:spacing w:line="396" w:lineRule="auto"/>
        <w:ind w:firstLine="560"/>
        <w:rPr>
          <w:rFonts w:ascii="宋体" w:hAnsi="宋体" w:eastAsia="宋体"/>
          <w:sz w:val="28"/>
          <w:szCs w:val="28"/>
        </w:rPr>
      </w:pPr>
      <w:r>
        <w:rPr>
          <w:rFonts w:hint="eastAsia" w:ascii="宋体" w:hAnsi="宋体" w:eastAsia="宋体"/>
          <w:sz w:val="28"/>
          <w:szCs w:val="28"/>
        </w:rPr>
        <w:t>1、预算执行情况分析</w:t>
      </w:r>
    </w:p>
    <w:p w14:paraId="57F236C0">
      <w:pPr>
        <w:spacing w:line="396" w:lineRule="auto"/>
        <w:ind w:firstLine="560"/>
        <w:outlineLvl w:val="0"/>
        <w:rPr>
          <w:rFonts w:ascii="宋体" w:hAnsi="宋体" w:eastAsia="宋体" w:cs="楷体_GB2312"/>
          <w:sz w:val="28"/>
          <w:szCs w:val="28"/>
        </w:rPr>
      </w:pPr>
      <w:r>
        <w:rPr>
          <w:rFonts w:hint="eastAsia" w:ascii="宋体" w:hAnsi="宋体" w:eastAsia="宋体" w:cs="楷体_GB2312"/>
          <w:sz w:val="28"/>
          <w:szCs w:val="28"/>
        </w:rPr>
        <w:t>（1）资金投入情况分析</w:t>
      </w:r>
    </w:p>
    <w:p w14:paraId="461542DF">
      <w:pPr>
        <w:spacing w:line="396" w:lineRule="auto"/>
        <w:ind w:firstLine="560"/>
        <w:rPr>
          <w:rFonts w:ascii="宋体" w:hAnsi="宋体" w:eastAsia="宋体" w:cs="仿宋_GB2312"/>
          <w:sz w:val="28"/>
          <w:szCs w:val="28"/>
        </w:rPr>
      </w:pPr>
      <w:r>
        <w:rPr>
          <w:rFonts w:hint="eastAsia" w:ascii="宋体" w:hAnsi="宋体" w:eastAsia="宋体" w:cs="仿宋_GB2312"/>
          <w:sz w:val="28"/>
          <w:szCs w:val="28"/>
        </w:rPr>
        <w:t>《市财政局关于批复2021年市直部门预算的通知》批复了本项目资金的来源。2021年年初结转</w:t>
      </w:r>
      <w:r>
        <w:rPr>
          <w:rFonts w:ascii="宋体" w:hAnsi="宋体" w:eastAsia="宋体" w:cs="仿宋_GB2312"/>
          <w:sz w:val="28"/>
          <w:szCs w:val="28"/>
        </w:rPr>
        <w:t>523</w:t>
      </w:r>
      <w:r>
        <w:rPr>
          <w:rFonts w:hint="eastAsia" w:ascii="宋体" w:hAnsi="宋体" w:eastAsia="宋体" w:cs="仿宋_GB2312"/>
          <w:sz w:val="28"/>
          <w:szCs w:val="28"/>
        </w:rPr>
        <w:t>.</w:t>
      </w:r>
      <w:r>
        <w:rPr>
          <w:rFonts w:ascii="宋体" w:hAnsi="宋体" w:eastAsia="宋体" w:cs="仿宋_GB2312"/>
          <w:sz w:val="28"/>
          <w:szCs w:val="28"/>
        </w:rPr>
        <w:t>3</w:t>
      </w:r>
      <w:r>
        <w:rPr>
          <w:rFonts w:hint="eastAsia" w:ascii="宋体" w:hAnsi="宋体" w:eastAsia="宋体" w:cs="仿宋_GB2312"/>
          <w:sz w:val="28"/>
          <w:szCs w:val="28"/>
        </w:rPr>
        <w:t>6万元，调整后的预算数39005.89万元。</w:t>
      </w:r>
    </w:p>
    <w:p w14:paraId="43FF71BD">
      <w:pPr>
        <w:spacing w:line="396" w:lineRule="auto"/>
        <w:ind w:firstLine="560"/>
        <w:rPr>
          <w:rFonts w:ascii="宋体" w:hAnsi="宋体" w:eastAsia="宋体" w:cs="仿宋_GB2312"/>
          <w:sz w:val="28"/>
          <w:szCs w:val="28"/>
        </w:rPr>
      </w:pPr>
      <w:r>
        <w:rPr>
          <w:rFonts w:hint="eastAsia" w:ascii="宋体" w:hAnsi="宋体" w:eastAsia="宋体" w:cs="仿宋_GB2312"/>
          <w:sz w:val="28"/>
          <w:szCs w:val="28"/>
        </w:rPr>
        <w:t>其中：实际财政拨款收入1872.62万元，政府债券收入36609.91万元(其中因2021年12月23日收市财政局下达的2021年老旧小区改造和城市应急水源专项债券资金暂未支付，故导致年末结转和结余增幅较大），合计38482.53万元。</w:t>
      </w:r>
    </w:p>
    <w:p w14:paraId="4189A051">
      <w:pPr>
        <w:spacing w:line="396" w:lineRule="auto"/>
        <w:ind w:firstLine="560"/>
        <w:rPr>
          <w:rFonts w:ascii="宋体" w:hAnsi="宋体" w:eastAsia="宋体" w:cs="仿宋_GB2312"/>
          <w:sz w:val="28"/>
          <w:szCs w:val="28"/>
        </w:rPr>
      </w:pPr>
      <w:r>
        <w:rPr>
          <w:rFonts w:hint="eastAsia" w:ascii="宋体" w:hAnsi="宋体" w:eastAsia="宋体" w:cs="仿宋_GB2312"/>
          <w:sz w:val="28"/>
          <w:szCs w:val="28"/>
        </w:rPr>
        <w:t>资金投入到位率为100%。</w:t>
      </w:r>
    </w:p>
    <w:p w14:paraId="16DB48E1">
      <w:pPr>
        <w:spacing w:line="396" w:lineRule="auto"/>
        <w:ind w:firstLine="560"/>
        <w:rPr>
          <w:rFonts w:ascii="宋体" w:hAnsi="宋体" w:eastAsia="宋体" w:cs="仿宋_GB2312"/>
          <w:bCs/>
          <w:sz w:val="28"/>
          <w:szCs w:val="28"/>
        </w:rPr>
      </w:pPr>
      <w:r>
        <w:rPr>
          <w:rFonts w:hint="eastAsia" w:ascii="宋体" w:hAnsi="宋体" w:eastAsia="宋体" w:cs="仿宋_GB2312"/>
          <w:bCs/>
          <w:sz w:val="28"/>
          <w:szCs w:val="28"/>
        </w:rPr>
        <w:t>（2）资金执行情况分析。</w:t>
      </w:r>
    </w:p>
    <w:p w14:paraId="519467E6">
      <w:pPr>
        <w:spacing w:line="396" w:lineRule="auto"/>
        <w:ind w:firstLine="560"/>
        <w:rPr>
          <w:rFonts w:ascii="宋体" w:hAnsi="宋体" w:eastAsia="宋体" w:cs="仿宋_GB2312"/>
          <w:b/>
          <w:bCs/>
          <w:sz w:val="28"/>
          <w:szCs w:val="28"/>
        </w:rPr>
      </w:pPr>
      <w:r>
        <w:rPr>
          <w:rFonts w:hint="eastAsia" w:ascii="宋体" w:hAnsi="宋体" w:eastAsia="宋体"/>
          <w:sz w:val="28"/>
          <w:szCs w:val="28"/>
        </w:rPr>
        <w:t>2021年部门整体调整后的预算支出总额</w:t>
      </w:r>
      <w:r>
        <w:rPr>
          <w:rFonts w:hint="eastAsia" w:ascii="宋体" w:hAnsi="宋体" w:eastAsia="宋体" w:cs="仿宋_GB2312"/>
          <w:sz w:val="28"/>
          <w:szCs w:val="28"/>
        </w:rPr>
        <w:t>3338.21</w:t>
      </w:r>
      <w:r>
        <w:rPr>
          <w:rFonts w:hint="eastAsia" w:ascii="宋体" w:hAnsi="宋体" w:eastAsia="宋体"/>
          <w:sz w:val="28"/>
          <w:szCs w:val="28"/>
        </w:rPr>
        <w:t>万元，实际支出总额</w:t>
      </w:r>
      <w:r>
        <w:rPr>
          <w:rFonts w:hint="eastAsia" w:ascii="宋体" w:hAnsi="宋体" w:eastAsia="宋体" w:cs="仿宋_GB2312"/>
          <w:sz w:val="28"/>
          <w:szCs w:val="28"/>
        </w:rPr>
        <w:t>3338.21</w:t>
      </w:r>
      <w:r>
        <w:rPr>
          <w:rFonts w:hint="eastAsia" w:ascii="宋体" w:hAnsi="宋体" w:eastAsia="宋体"/>
          <w:sz w:val="28"/>
          <w:szCs w:val="28"/>
        </w:rPr>
        <w:t>万元，资金支出预算执行率100%。其中：</w:t>
      </w:r>
    </w:p>
    <w:p w14:paraId="48D0DB1C">
      <w:pPr>
        <w:spacing w:line="396" w:lineRule="auto"/>
        <w:ind w:firstLine="560"/>
        <w:rPr>
          <w:rFonts w:ascii="宋体" w:hAnsi="宋体" w:eastAsia="宋体" w:cs="仿宋_GB2312"/>
          <w:sz w:val="28"/>
          <w:szCs w:val="28"/>
        </w:rPr>
      </w:pPr>
      <w:r>
        <w:rPr>
          <w:rFonts w:hint="eastAsia" w:ascii="宋体" w:hAnsi="宋体" w:eastAsia="宋体" w:cs="仿宋_GB2312"/>
          <w:sz w:val="28"/>
          <w:szCs w:val="28"/>
        </w:rPr>
        <w:t>基本支出调整后预算1445.15万元，实际支出1445.15万元，具体包括工资福利支出1011.44万元，商品和服务支出128.56万元，对个人和家庭补助支出56.68万元，资本性支出5.28万元，其它支出243.19万元。</w:t>
      </w:r>
    </w:p>
    <w:p w14:paraId="5EE4AC1E">
      <w:pPr>
        <w:spacing w:line="396" w:lineRule="auto"/>
        <w:ind w:firstLine="560"/>
        <w:rPr>
          <w:rFonts w:ascii="宋体" w:hAnsi="宋体" w:eastAsia="宋体" w:cs="仿宋_GB2312"/>
          <w:sz w:val="28"/>
          <w:szCs w:val="28"/>
        </w:rPr>
      </w:pPr>
      <w:r>
        <w:rPr>
          <w:rFonts w:hint="eastAsia" w:ascii="宋体" w:hAnsi="宋体" w:eastAsia="宋体" w:cs="仿宋_GB2312"/>
          <w:sz w:val="28"/>
          <w:szCs w:val="28"/>
        </w:rPr>
        <w:t>项目支出调整后预算1893.06万元，实际支出为1893.06万元，具体非基建项目支出1893.06万元。</w:t>
      </w:r>
    </w:p>
    <w:p w14:paraId="5EDA5DE2">
      <w:pPr>
        <w:spacing w:line="396" w:lineRule="auto"/>
        <w:ind w:left="570"/>
        <w:rPr>
          <w:rFonts w:ascii="宋体" w:hAnsi="宋体" w:eastAsia="宋体" w:cs="仿宋_GB2312"/>
          <w:sz w:val="28"/>
          <w:szCs w:val="28"/>
        </w:rPr>
      </w:pPr>
      <w:r>
        <w:rPr>
          <w:rFonts w:ascii="宋体" w:hAnsi="宋体" w:eastAsia="宋体" w:cs="仿宋_GB2312"/>
          <w:sz w:val="28"/>
          <w:szCs w:val="28"/>
        </w:rPr>
        <w:fldChar w:fldCharType="begin"/>
      </w:r>
      <w:r>
        <w:rPr>
          <w:rFonts w:ascii="宋体" w:hAnsi="宋体" w:eastAsia="宋体" w:cs="仿宋_GB2312"/>
          <w:sz w:val="28"/>
          <w:szCs w:val="28"/>
        </w:rPr>
        <w:instrText xml:space="preserve"> </w:instrText>
      </w:r>
      <w:r>
        <w:rPr>
          <w:rFonts w:hint="eastAsia" w:ascii="宋体" w:hAnsi="宋体" w:eastAsia="宋体" w:cs="仿宋_GB2312"/>
          <w:sz w:val="28"/>
          <w:szCs w:val="28"/>
        </w:rPr>
        <w:instrText xml:space="preserve">= 1 \* GB3</w:instrText>
      </w:r>
      <w:r>
        <w:rPr>
          <w:rFonts w:ascii="宋体" w:hAnsi="宋体" w:eastAsia="宋体" w:cs="仿宋_GB2312"/>
          <w:sz w:val="28"/>
          <w:szCs w:val="28"/>
        </w:rPr>
        <w:instrText xml:space="preserve"> </w:instrText>
      </w:r>
      <w:r>
        <w:rPr>
          <w:rFonts w:ascii="宋体" w:hAnsi="宋体" w:eastAsia="宋体" w:cs="仿宋_GB2312"/>
          <w:sz w:val="28"/>
          <w:szCs w:val="28"/>
        </w:rPr>
        <w:fldChar w:fldCharType="separate"/>
      </w:r>
      <w:r>
        <w:rPr>
          <w:rFonts w:hint="eastAsia" w:ascii="宋体" w:hAnsi="宋体" w:eastAsia="宋体" w:cs="仿宋_GB2312"/>
          <w:sz w:val="28"/>
          <w:szCs w:val="28"/>
        </w:rPr>
        <w:t>①</w:t>
      </w:r>
      <w:r>
        <w:rPr>
          <w:rFonts w:ascii="宋体" w:hAnsi="宋体" w:eastAsia="宋体" w:cs="仿宋_GB2312"/>
          <w:sz w:val="28"/>
          <w:szCs w:val="28"/>
        </w:rPr>
        <w:fldChar w:fldCharType="end"/>
      </w:r>
      <w:r>
        <w:rPr>
          <w:rFonts w:hint="eastAsia" w:ascii="宋体" w:hAnsi="宋体" w:eastAsia="宋体" w:cs="仿宋_GB2312"/>
          <w:sz w:val="28"/>
          <w:szCs w:val="28"/>
        </w:rPr>
        <w:t>结转结余率</w:t>
      </w:r>
    </w:p>
    <w:p w14:paraId="182A752F">
      <w:pPr>
        <w:spacing w:line="396" w:lineRule="auto"/>
        <w:ind w:left="-15" w:right="125" w:firstLine="550"/>
        <w:rPr>
          <w:rFonts w:ascii="宋体" w:hAnsi="宋体" w:eastAsia="宋体" w:cs="仿宋_GB2312"/>
          <w:sz w:val="28"/>
          <w:szCs w:val="28"/>
        </w:rPr>
      </w:pPr>
      <w:r>
        <w:rPr>
          <w:rFonts w:hint="eastAsia" w:ascii="宋体" w:hAnsi="宋体" w:eastAsia="宋体" w:cs="仿宋_GB2312"/>
          <w:sz w:val="28"/>
          <w:szCs w:val="28"/>
        </w:rPr>
        <w:t>根据预决算资料，年末结转结余35667.68万元，是由于2021年12月23日收市财政局下达的2021年老旧小区改造和城市应急水源专项债券资金结余35355.73万元暂未支付，和</w:t>
      </w:r>
      <w:r>
        <w:rPr>
          <w:rFonts w:hint="eastAsia" w:ascii="宋体" w:hAnsi="宋体" w:eastAsia="宋体" w:cs="仿宋_GB2312"/>
          <w:sz w:val="28"/>
          <w:szCs w:val="28"/>
          <w:lang w:eastAsia="zh-CN"/>
        </w:rPr>
        <w:t>财政拨款</w:t>
      </w:r>
      <w:r>
        <w:rPr>
          <w:rFonts w:hint="eastAsia" w:ascii="宋体" w:hAnsi="宋体" w:eastAsia="宋体" w:cs="仿宋_GB2312"/>
          <w:sz w:val="28"/>
          <w:szCs w:val="28"/>
        </w:rPr>
        <w:t>年末结转结余311.96万元构成，所以本年部门绩效评价时本年度结余结转金额只算</w:t>
      </w:r>
      <w:r>
        <w:rPr>
          <w:rFonts w:hint="eastAsia" w:ascii="宋体" w:hAnsi="宋体" w:eastAsia="宋体" w:cs="仿宋_GB2312"/>
          <w:sz w:val="28"/>
          <w:szCs w:val="28"/>
          <w:lang w:eastAsia="zh-CN"/>
        </w:rPr>
        <w:t>财政拨款</w:t>
      </w:r>
      <w:r>
        <w:rPr>
          <w:rFonts w:hint="eastAsia" w:ascii="宋体" w:hAnsi="宋体" w:eastAsia="宋体" w:cs="仿宋_GB2312"/>
          <w:sz w:val="28"/>
          <w:szCs w:val="28"/>
        </w:rPr>
        <w:t>结转结余311.96万元，全年支出决算总额</w:t>
      </w:r>
      <w:r>
        <w:rPr>
          <w:rFonts w:hint="eastAsia" w:ascii="宋体" w:hAnsi="宋体" w:eastAsia="宋体"/>
          <w:sz w:val="28"/>
          <w:szCs w:val="28"/>
        </w:rPr>
        <w:t>3338.21</w:t>
      </w:r>
      <w:r>
        <w:rPr>
          <w:rFonts w:hint="eastAsia" w:ascii="宋体" w:hAnsi="宋体" w:eastAsia="宋体" w:cs="仿宋_GB2312"/>
          <w:sz w:val="28"/>
          <w:szCs w:val="28"/>
        </w:rPr>
        <w:t>万元，结转结余率为9.34%。年度结转结余得到有效控制。</w:t>
      </w:r>
    </w:p>
    <w:p w14:paraId="4A8A2015">
      <w:pPr>
        <w:spacing w:line="396" w:lineRule="auto"/>
        <w:ind w:left="-15" w:right="125" w:firstLine="550"/>
        <w:rPr>
          <w:rFonts w:ascii="宋体" w:hAnsi="宋体" w:eastAsia="宋体" w:cs="仿宋_GB2312"/>
          <w:sz w:val="28"/>
          <w:szCs w:val="28"/>
        </w:rPr>
      </w:pPr>
      <w:r>
        <w:rPr>
          <w:rFonts w:ascii="宋体" w:hAnsi="宋体" w:eastAsia="宋体" w:cs="仿宋_GB2312"/>
          <w:sz w:val="28"/>
          <w:szCs w:val="28"/>
        </w:rPr>
        <w:fldChar w:fldCharType="begin"/>
      </w:r>
      <w:r>
        <w:rPr>
          <w:rFonts w:ascii="宋体" w:hAnsi="宋体" w:eastAsia="宋体" w:cs="仿宋_GB2312"/>
          <w:sz w:val="28"/>
          <w:szCs w:val="28"/>
        </w:rPr>
        <w:instrText xml:space="preserve"> </w:instrText>
      </w:r>
      <w:r>
        <w:rPr>
          <w:rFonts w:hint="eastAsia" w:ascii="宋体" w:hAnsi="宋体" w:eastAsia="宋体" w:cs="仿宋_GB2312"/>
          <w:sz w:val="28"/>
          <w:szCs w:val="28"/>
        </w:rPr>
        <w:instrText xml:space="preserve">= 2 \* GB3</w:instrText>
      </w:r>
      <w:r>
        <w:rPr>
          <w:rFonts w:ascii="宋体" w:hAnsi="宋体" w:eastAsia="宋体" w:cs="仿宋_GB2312"/>
          <w:sz w:val="28"/>
          <w:szCs w:val="28"/>
        </w:rPr>
        <w:instrText xml:space="preserve"> </w:instrText>
      </w:r>
      <w:r>
        <w:rPr>
          <w:rFonts w:ascii="宋体" w:hAnsi="宋体" w:eastAsia="宋体" w:cs="仿宋_GB2312"/>
          <w:sz w:val="28"/>
          <w:szCs w:val="28"/>
        </w:rPr>
        <w:fldChar w:fldCharType="separate"/>
      </w:r>
      <w:r>
        <w:rPr>
          <w:rFonts w:hint="eastAsia" w:ascii="宋体" w:hAnsi="宋体" w:eastAsia="宋体" w:cs="仿宋_GB2312"/>
          <w:sz w:val="28"/>
          <w:szCs w:val="28"/>
        </w:rPr>
        <w:t>②</w:t>
      </w:r>
      <w:r>
        <w:rPr>
          <w:rFonts w:ascii="宋体" w:hAnsi="宋体" w:eastAsia="宋体" w:cs="仿宋_GB2312"/>
          <w:sz w:val="28"/>
          <w:szCs w:val="28"/>
        </w:rPr>
        <w:fldChar w:fldCharType="end"/>
      </w:r>
      <w:r>
        <w:rPr>
          <w:rFonts w:hint="eastAsia" w:ascii="宋体" w:hAnsi="宋体" w:eastAsia="宋体" w:cs="仿宋_GB2312"/>
          <w:sz w:val="28"/>
          <w:szCs w:val="28"/>
        </w:rPr>
        <w:t>结转结余变动率</w:t>
      </w:r>
    </w:p>
    <w:p w14:paraId="79ACD290">
      <w:pPr>
        <w:spacing w:line="396" w:lineRule="auto"/>
        <w:ind w:left="-15" w:right="125" w:firstLine="550"/>
        <w:rPr>
          <w:rFonts w:ascii="宋体" w:hAnsi="宋体" w:eastAsia="宋体" w:cs="仿宋_GB2312"/>
          <w:sz w:val="28"/>
          <w:szCs w:val="28"/>
        </w:rPr>
      </w:pPr>
      <w:r>
        <w:rPr>
          <w:rFonts w:hint="eastAsia" w:ascii="宋体" w:hAnsi="宋体" w:eastAsia="宋体" w:cs="仿宋_GB2312"/>
          <w:sz w:val="28"/>
          <w:szCs w:val="28"/>
        </w:rPr>
        <w:t>根据预决算资料，部门本年度结余结转资金总额311.96万元，上年度调整后结余结转资金总额523.36万元，结转结余变动率40.39%。</w:t>
      </w:r>
    </w:p>
    <w:p w14:paraId="4300BA01">
      <w:pPr>
        <w:spacing w:line="396" w:lineRule="auto"/>
        <w:ind w:left="-15" w:right="125" w:firstLine="550"/>
        <w:rPr>
          <w:rFonts w:ascii="宋体" w:hAnsi="宋体" w:eastAsia="宋体" w:cs="仿宋_GB2312"/>
          <w:sz w:val="28"/>
          <w:szCs w:val="28"/>
        </w:rPr>
      </w:pPr>
      <w:r>
        <w:rPr>
          <w:rFonts w:ascii="宋体" w:hAnsi="宋体" w:eastAsia="宋体" w:cs="仿宋_GB2312"/>
          <w:sz w:val="28"/>
          <w:szCs w:val="28"/>
        </w:rPr>
        <w:fldChar w:fldCharType="begin"/>
      </w:r>
      <w:r>
        <w:rPr>
          <w:rFonts w:ascii="宋体" w:hAnsi="宋体" w:eastAsia="宋体" w:cs="仿宋_GB2312"/>
          <w:sz w:val="28"/>
          <w:szCs w:val="28"/>
        </w:rPr>
        <w:instrText xml:space="preserve"> </w:instrText>
      </w:r>
      <w:r>
        <w:rPr>
          <w:rFonts w:hint="eastAsia" w:ascii="宋体" w:hAnsi="宋体" w:eastAsia="宋体" w:cs="仿宋_GB2312"/>
          <w:sz w:val="28"/>
          <w:szCs w:val="28"/>
        </w:rPr>
        <w:instrText xml:space="preserve">= 3 \* GB3</w:instrText>
      </w:r>
      <w:r>
        <w:rPr>
          <w:rFonts w:ascii="宋体" w:hAnsi="宋体" w:eastAsia="宋体" w:cs="仿宋_GB2312"/>
          <w:sz w:val="28"/>
          <w:szCs w:val="28"/>
        </w:rPr>
        <w:instrText xml:space="preserve"> </w:instrText>
      </w:r>
      <w:r>
        <w:rPr>
          <w:rFonts w:ascii="宋体" w:hAnsi="宋体" w:eastAsia="宋体" w:cs="仿宋_GB2312"/>
          <w:sz w:val="28"/>
          <w:szCs w:val="28"/>
        </w:rPr>
        <w:fldChar w:fldCharType="separate"/>
      </w:r>
      <w:r>
        <w:rPr>
          <w:rFonts w:hint="eastAsia" w:ascii="宋体" w:hAnsi="宋体" w:eastAsia="宋体" w:cs="仿宋_GB2312"/>
          <w:sz w:val="28"/>
          <w:szCs w:val="28"/>
        </w:rPr>
        <w:t>③</w:t>
      </w:r>
      <w:r>
        <w:rPr>
          <w:rFonts w:ascii="宋体" w:hAnsi="宋体" w:eastAsia="宋体" w:cs="仿宋_GB2312"/>
          <w:sz w:val="28"/>
          <w:szCs w:val="28"/>
        </w:rPr>
        <w:fldChar w:fldCharType="end"/>
      </w:r>
      <w:r>
        <w:rPr>
          <w:rFonts w:hint="eastAsia" w:ascii="宋体" w:hAnsi="宋体" w:eastAsia="宋体" w:cs="仿宋_GB2312"/>
          <w:sz w:val="28"/>
          <w:szCs w:val="28"/>
        </w:rPr>
        <w:t>公用经费控制率</w:t>
      </w:r>
    </w:p>
    <w:p w14:paraId="642D00F3">
      <w:pPr>
        <w:spacing w:line="396" w:lineRule="auto"/>
        <w:ind w:left="-15" w:right="125" w:firstLine="550"/>
        <w:rPr>
          <w:rFonts w:ascii="宋体" w:hAnsi="宋体" w:eastAsia="宋体" w:cs="仿宋_GB2312"/>
          <w:sz w:val="28"/>
          <w:szCs w:val="28"/>
        </w:rPr>
      </w:pPr>
      <w:r>
        <w:rPr>
          <w:rFonts w:hint="eastAsia" w:ascii="宋体" w:hAnsi="宋体" w:eastAsia="宋体" w:cs="仿宋_GB2312"/>
          <w:sz w:val="28"/>
          <w:szCs w:val="28"/>
        </w:rPr>
        <w:t>根据预决算资料，部门预算安排的公用经费总额为377.04万元，实际支出的公用经费总额为377.04万元，公用经费控制率100%。</w:t>
      </w:r>
    </w:p>
    <w:p w14:paraId="2F91CEBB">
      <w:pPr>
        <w:spacing w:line="396" w:lineRule="auto"/>
        <w:ind w:left="-15" w:right="125" w:firstLine="550"/>
        <w:rPr>
          <w:rFonts w:ascii="宋体" w:hAnsi="宋体" w:eastAsia="宋体" w:cs="仿宋_GB2312"/>
          <w:sz w:val="28"/>
          <w:szCs w:val="28"/>
        </w:rPr>
      </w:pPr>
      <w:r>
        <w:rPr>
          <w:rFonts w:ascii="宋体" w:hAnsi="宋体" w:eastAsia="宋体" w:cs="仿宋_GB2312"/>
          <w:sz w:val="28"/>
          <w:szCs w:val="28"/>
        </w:rPr>
        <w:fldChar w:fldCharType="begin"/>
      </w:r>
      <w:r>
        <w:rPr>
          <w:rFonts w:ascii="宋体" w:hAnsi="宋体" w:eastAsia="宋体" w:cs="仿宋_GB2312"/>
          <w:sz w:val="28"/>
          <w:szCs w:val="28"/>
        </w:rPr>
        <w:instrText xml:space="preserve"> </w:instrText>
      </w:r>
      <w:r>
        <w:rPr>
          <w:rFonts w:hint="eastAsia" w:ascii="宋体" w:hAnsi="宋体" w:eastAsia="宋体" w:cs="仿宋_GB2312"/>
          <w:sz w:val="28"/>
          <w:szCs w:val="28"/>
        </w:rPr>
        <w:instrText xml:space="preserve">= 4 \* GB3</w:instrText>
      </w:r>
      <w:r>
        <w:rPr>
          <w:rFonts w:ascii="宋体" w:hAnsi="宋体" w:eastAsia="宋体" w:cs="仿宋_GB2312"/>
          <w:sz w:val="28"/>
          <w:szCs w:val="28"/>
        </w:rPr>
        <w:instrText xml:space="preserve"> </w:instrText>
      </w:r>
      <w:r>
        <w:rPr>
          <w:rFonts w:ascii="宋体" w:hAnsi="宋体" w:eastAsia="宋体" w:cs="仿宋_GB2312"/>
          <w:sz w:val="28"/>
          <w:szCs w:val="28"/>
        </w:rPr>
        <w:fldChar w:fldCharType="separate"/>
      </w:r>
      <w:r>
        <w:rPr>
          <w:rFonts w:hint="eastAsia" w:ascii="宋体" w:hAnsi="宋体" w:eastAsia="宋体" w:cs="仿宋_GB2312"/>
          <w:sz w:val="28"/>
          <w:szCs w:val="28"/>
        </w:rPr>
        <w:t>④</w:t>
      </w:r>
      <w:r>
        <w:rPr>
          <w:rFonts w:ascii="宋体" w:hAnsi="宋体" w:eastAsia="宋体" w:cs="仿宋_GB2312"/>
          <w:sz w:val="28"/>
          <w:szCs w:val="28"/>
        </w:rPr>
        <w:fldChar w:fldCharType="end"/>
      </w:r>
      <w:r>
        <w:rPr>
          <w:rFonts w:hint="eastAsia" w:ascii="宋体" w:hAnsi="宋体" w:eastAsia="宋体" w:cs="仿宋_GB2312"/>
          <w:sz w:val="28"/>
          <w:szCs w:val="28"/>
        </w:rPr>
        <w:t xml:space="preserve"> “三公经费”控制率</w:t>
      </w:r>
    </w:p>
    <w:p w14:paraId="40F56122">
      <w:pPr>
        <w:spacing w:line="396" w:lineRule="auto"/>
        <w:ind w:firstLine="560"/>
        <w:rPr>
          <w:rFonts w:ascii="宋体" w:hAnsi="宋体" w:eastAsia="宋体" w:cs="仿宋_GB2312"/>
          <w:sz w:val="28"/>
          <w:szCs w:val="28"/>
        </w:rPr>
      </w:pPr>
      <w:r>
        <w:rPr>
          <w:rFonts w:hint="eastAsia" w:ascii="宋体" w:hAnsi="宋体" w:eastAsia="宋体" w:cs="仿宋_GB2312"/>
          <w:sz w:val="28"/>
          <w:szCs w:val="28"/>
        </w:rPr>
        <w:t>根据预决算资料，“三公经费”预算数为14.04万元，实际支出数为7.72万元，控制率为54.98%。因公出国（境）未发生费用，且实施公务用车制度改革，公务用车购置及运行维护费6.72万元，公务接待活动费用1万元，因疫情影响使得“三公”经费单项有所减少。</w:t>
      </w:r>
    </w:p>
    <w:p w14:paraId="3FDE12BF">
      <w:pPr>
        <w:spacing w:line="384" w:lineRule="auto"/>
        <w:ind w:firstLine="560"/>
        <w:rPr>
          <w:rFonts w:ascii="宋体" w:hAnsi="宋体" w:eastAsia="宋体" w:cs="仿宋_GB2312"/>
          <w:sz w:val="28"/>
          <w:szCs w:val="28"/>
        </w:rPr>
      </w:pPr>
      <w:r>
        <w:rPr>
          <w:rFonts w:ascii="宋体" w:hAnsi="宋体" w:eastAsia="宋体" w:cs="仿宋_GB2312"/>
          <w:sz w:val="28"/>
          <w:szCs w:val="28"/>
        </w:rPr>
        <w:fldChar w:fldCharType="begin"/>
      </w:r>
      <w:r>
        <w:rPr>
          <w:rFonts w:ascii="宋体" w:hAnsi="宋体" w:eastAsia="宋体" w:cs="仿宋_GB2312"/>
          <w:sz w:val="28"/>
          <w:szCs w:val="28"/>
        </w:rPr>
        <w:instrText xml:space="preserve"> </w:instrText>
      </w:r>
      <w:r>
        <w:rPr>
          <w:rFonts w:hint="eastAsia" w:ascii="宋体" w:hAnsi="宋体" w:eastAsia="宋体" w:cs="仿宋_GB2312"/>
          <w:sz w:val="28"/>
          <w:szCs w:val="28"/>
        </w:rPr>
        <w:instrText xml:space="preserve">= 5 \* GB3</w:instrText>
      </w:r>
      <w:r>
        <w:rPr>
          <w:rFonts w:ascii="宋体" w:hAnsi="宋体" w:eastAsia="宋体" w:cs="仿宋_GB2312"/>
          <w:sz w:val="28"/>
          <w:szCs w:val="28"/>
        </w:rPr>
        <w:instrText xml:space="preserve"> </w:instrText>
      </w:r>
      <w:r>
        <w:rPr>
          <w:rFonts w:ascii="宋体" w:hAnsi="宋体" w:eastAsia="宋体" w:cs="仿宋_GB2312"/>
          <w:sz w:val="28"/>
          <w:szCs w:val="28"/>
        </w:rPr>
        <w:fldChar w:fldCharType="separate"/>
      </w:r>
      <w:r>
        <w:rPr>
          <w:rFonts w:hint="eastAsia" w:ascii="宋体" w:hAnsi="宋体" w:eastAsia="宋体" w:cs="仿宋_GB2312"/>
          <w:sz w:val="28"/>
          <w:szCs w:val="28"/>
        </w:rPr>
        <w:t>⑤</w:t>
      </w:r>
      <w:r>
        <w:rPr>
          <w:rFonts w:ascii="宋体" w:hAnsi="宋体" w:eastAsia="宋体" w:cs="仿宋_GB2312"/>
          <w:sz w:val="28"/>
          <w:szCs w:val="28"/>
        </w:rPr>
        <w:fldChar w:fldCharType="end"/>
      </w:r>
      <w:r>
        <w:rPr>
          <w:rFonts w:hint="eastAsia" w:ascii="宋体" w:hAnsi="宋体" w:eastAsia="宋体" w:cs="仿宋_GB2312"/>
          <w:sz w:val="28"/>
          <w:szCs w:val="28"/>
        </w:rPr>
        <w:t>管理制度健全性</w:t>
      </w:r>
    </w:p>
    <w:p w14:paraId="364D3F0A">
      <w:pPr>
        <w:spacing w:line="384" w:lineRule="auto"/>
        <w:ind w:firstLine="560"/>
        <w:rPr>
          <w:rFonts w:ascii="宋体" w:hAnsi="宋体" w:eastAsia="宋体" w:cs="仿宋_GB2312"/>
          <w:sz w:val="28"/>
          <w:szCs w:val="28"/>
        </w:rPr>
      </w:pPr>
      <w:r>
        <w:rPr>
          <w:rFonts w:hint="eastAsia" w:ascii="宋体" w:hAnsi="宋体" w:eastAsia="宋体" w:cs="仿宋_GB2312"/>
          <w:sz w:val="28"/>
          <w:szCs w:val="28"/>
        </w:rPr>
        <w:t>本部门建立各项管理制度，有内部财务管理制度、会计核算制度、公务接待制度、出差管理办法、公车管理、会议制度、预案销号制度、厉行节约制度、资产管理等制度，相关管理制度合法、合规、完整，相关管理制度得到有效执行。</w:t>
      </w:r>
    </w:p>
    <w:p w14:paraId="53590470">
      <w:pPr>
        <w:spacing w:line="384" w:lineRule="auto"/>
        <w:ind w:firstLine="560"/>
        <w:rPr>
          <w:rFonts w:ascii="宋体" w:hAnsi="宋体" w:eastAsia="宋体" w:cs="仿宋_GB2312"/>
          <w:sz w:val="28"/>
          <w:szCs w:val="28"/>
        </w:rPr>
      </w:pPr>
      <w:r>
        <w:rPr>
          <w:rFonts w:hint="eastAsia" w:ascii="宋体" w:hAnsi="宋体" w:eastAsia="宋体" w:cs="仿宋_GB2312"/>
          <w:sz w:val="28"/>
          <w:szCs w:val="28"/>
        </w:rPr>
        <w:fldChar w:fldCharType="begin"/>
      </w:r>
      <w:r>
        <w:rPr>
          <w:rFonts w:hint="eastAsia" w:ascii="宋体" w:hAnsi="宋体" w:eastAsia="宋体" w:cs="仿宋_GB2312"/>
          <w:sz w:val="28"/>
          <w:szCs w:val="28"/>
        </w:rPr>
        <w:instrText xml:space="preserve"> = 6 \* GB3 \* MERGEFORMAT </w:instrText>
      </w:r>
      <w:r>
        <w:rPr>
          <w:rFonts w:hint="eastAsia" w:ascii="宋体" w:hAnsi="宋体" w:eastAsia="宋体" w:cs="仿宋_GB2312"/>
          <w:sz w:val="28"/>
          <w:szCs w:val="28"/>
        </w:rPr>
        <w:fldChar w:fldCharType="separate"/>
      </w:r>
      <w:r>
        <w:rPr>
          <w:sz w:val="28"/>
          <w:szCs w:val="28"/>
        </w:rPr>
        <w:t>⑥</w:t>
      </w:r>
      <w:r>
        <w:rPr>
          <w:rFonts w:hint="eastAsia" w:ascii="宋体" w:hAnsi="宋体" w:eastAsia="宋体" w:cs="仿宋_GB2312"/>
          <w:sz w:val="28"/>
          <w:szCs w:val="28"/>
        </w:rPr>
        <w:fldChar w:fldCharType="end"/>
      </w:r>
      <w:r>
        <w:rPr>
          <w:rFonts w:hint="eastAsia" w:ascii="宋体" w:hAnsi="宋体" w:eastAsia="宋体" w:cs="仿宋_GB2312"/>
          <w:sz w:val="28"/>
          <w:szCs w:val="28"/>
        </w:rPr>
        <w:t>资金使用合规性</w:t>
      </w:r>
    </w:p>
    <w:p w14:paraId="52CFBC46">
      <w:pPr>
        <w:spacing w:line="384" w:lineRule="auto"/>
        <w:ind w:firstLine="560"/>
        <w:rPr>
          <w:rFonts w:ascii="宋体" w:hAnsi="宋体" w:eastAsia="宋体" w:cs="仿宋_GB2312"/>
          <w:sz w:val="28"/>
          <w:szCs w:val="28"/>
        </w:rPr>
      </w:pPr>
      <w:r>
        <w:rPr>
          <w:rFonts w:hint="eastAsia" w:ascii="宋体" w:hAnsi="宋体" w:eastAsia="宋体" w:cs="仿宋_GB2312"/>
          <w:sz w:val="28"/>
          <w:szCs w:val="28"/>
        </w:rPr>
        <w:t>本部门支出符合国家财经法规和财务管理制度规定以及有关专项资金管理办法的规定，资金的拨付有完整的审批过程和手续，项目的支出按规定经过评估论证，支出符合部门预算批复的用途，资金使用无截留、挤占、挪用、虚列支出等情况。</w:t>
      </w:r>
    </w:p>
    <w:p w14:paraId="16E1801D">
      <w:pPr>
        <w:spacing w:line="384" w:lineRule="auto"/>
        <w:ind w:firstLine="560"/>
        <w:rPr>
          <w:rFonts w:ascii="宋体" w:hAnsi="宋体" w:eastAsia="宋体" w:cs="仿宋_GB2312"/>
          <w:sz w:val="28"/>
          <w:szCs w:val="28"/>
        </w:rPr>
      </w:pPr>
      <w:r>
        <w:rPr>
          <w:rFonts w:hint="eastAsia" w:ascii="宋体" w:hAnsi="宋体" w:eastAsia="宋体" w:cs="仿宋_GB2312"/>
          <w:sz w:val="28"/>
          <w:szCs w:val="28"/>
        </w:rPr>
        <w:fldChar w:fldCharType="begin"/>
      </w:r>
      <w:r>
        <w:rPr>
          <w:rFonts w:hint="eastAsia" w:ascii="宋体" w:hAnsi="宋体" w:eastAsia="宋体" w:cs="仿宋_GB2312"/>
          <w:sz w:val="28"/>
          <w:szCs w:val="28"/>
        </w:rPr>
        <w:instrText xml:space="preserve"> = 7 \* GB3 \* MERGEFORMAT </w:instrText>
      </w:r>
      <w:r>
        <w:rPr>
          <w:rFonts w:hint="eastAsia" w:ascii="宋体" w:hAnsi="宋体" w:eastAsia="宋体" w:cs="仿宋_GB2312"/>
          <w:sz w:val="28"/>
          <w:szCs w:val="28"/>
        </w:rPr>
        <w:fldChar w:fldCharType="separate"/>
      </w:r>
      <w:r>
        <w:rPr>
          <w:sz w:val="28"/>
          <w:szCs w:val="28"/>
        </w:rPr>
        <w:t>⑦</w:t>
      </w:r>
      <w:r>
        <w:rPr>
          <w:rFonts w:hint="eastAsia" w:ascii="宋体" w:hAnsi="宋体" w:eastAsia="宋体" w:cs="仿宋_GB2312"/>
          <w:sz w:val="28"/>
          <w:szCs w:val="28"/>
        </w:rPr>
        <w:fldChar w:fldCharType="end"/>
      </w:r>
      <w:r>
        <w:rPr>
          <w:rFonts w:hint="eastAsia" w:ascii="宋体" w:hAnsi="宋体" w:eastAsia="宋体" w:cs="仿宋_GB2312"/>
          <w:sz w:val="28"/>
          <w:szCs w:val="28"/>
        </w:rPr>
        <w:t>资产管理安全性</w:t>
      </w:r>
    </w:p>
    <w:p w14:paraId="61968766">
      <w:pPr>
        <w:spacing w:line="384" w:lineRule="auto"/>
        <w:ind w:firstLine="560"/>
        <w:rPr>
          <w:rFonts w:ascii="宋体" w:hAnsi="宋体" w:eastAsia="宋体" w:cs="仿宋_GB2312"/>
          <w:sz w:val="28"/>
          <w:szCs w:val="28"/>
        </w:rPr>
      </w:pPr>
      <w:r>
        <w:rPr>
          <w:rFonts w:hint="eastAsia" w:ascii="宋体" w:hAnsi="宋体" w:eastAsia="宋体" w:cs="仿宋_GB2312"/>
          <w:sz w:val="28"/>
          <w:szCs w:val="28"/>
        </w:rPr>
        <w:t>资产保存完整、使用合规、配置合理、处置规范，资产账务管理合规，账实相符。</w:t>
      </w:r>
    </w:p>
    <w:p w14:paraId="3CA8FBD7">
      <w:pPr>
        <w:spacing w:line="396" w:lineRule="auto"/>
        <w:ind w:left="-15" w:right="125" w:firstLine="550"/>
        <w:rPr>
          <w:rFonts w:ascii="宋体" w:hAnsi="宋体" w:eastAsia="宋体" w:cs="仿宋_GB2312"/>
          <w:sz w:val="28"/>
          <w:szCs w:val="28"/>
        </w:rPr>
      </w:pPr>
      <w:r>
        <w:rPr>
          <w:rFonts w:hint="eastAsia" w:ascii="宋体" w:hAnsi="宋体" w:eastAsia="宋体" w:cs="仿宋_GB2312"/>
          <w:sz w:val="28"/>
          <w:szCs w:val="28"/>
        </w:rPr>
        <w:fldChar w:fldCharType="begin"/>
      </w:r>
      <w:r>
        <w:rPr>
          <w:rFonts w:hint="eastAsia" w:ascii="宋体" w:hAnsi="宋体" w:eastAsia="宋体" w:cs="仿宋_GB2312"/>
          <w:sz w:val="28"/>
          <w:szCs w:val="28"/>
        </w:rPr>
        <w:instrText xml:space="preserve"> = 8 \* GB3 \* MERGEFORMAT </w:instrText>
      </w:r>
      <w:r>
        <w:rPr>
          <w:rFonts w:hint="eastAsia" w:ascii="宋体" w:hAnsi="宋体" w:eastAsia="宋体" w:cs="仿宋_GB2312"/>
          <w:sz w:val="28"/>
          <w:szCs w:val="28"/>
        </w:rPr>
        <w:fldChar w:fldCharType="separate"/>
      </w:r>
      <w:r>
        <w:rPr>
          <w:sz w:val="28"/>
          <w:szCs w:val="28"/>
        </w:rPr>
        <w:t>⑧</w:t>
      </w:r>
      <w:r>
        <w:rPr>
          <w:rFonts w:hint="eastAsia" w:ascii="宋体" w:hAnsi="宋体" w:eastAsia="宋体" w:cs="仿宋_GB2312"/>
          <w:sz w:val="28"/>
          <w:szCs w:val="28"/>
        </w:rPr>
        <w:fldChar w:fldCharType="end"/>
      </w:r>
      <w:r>
        <w:rPr>
          <w:rFonts w:hint="eastAsia" w:ascii="宋体" w:hAnsi="宋体" w:eastAsia="宋体" w:cs="仿宋_GB2312"/>
          <w:sz w:val="28"/>
          <w:szCs w:val="28"/>
        </w:rPr>
        <w:t>预决算信息公开性</w:t>
      </w:r>
    </w:p>
    <w:p w14:paraId="6231C2C2">
      <w:pPr>
        <w:spacing w:line="396" w:lineRule="auto"/>
        <w:ind w:left="-15" w:right="125" w:firstLine="550"/>
        <w:rPr>
          <w:rFonts w:ascii="宋体" w:hAnsi="宋体" w:eastAsia="宋体" w:cs="仿宋_GB2312"/>
          <w:sz w:val="28"/>
          <w:szCs w:val="28"/>
        </w:rPr>
      </w:pPr>
      <w:r>
        <w:rPr>
          <w:rFonts w:hint="eastAsia" w:ascii="宋体" w:hAnsi="宋体" w:eastAsia="宋体" w:cs="仿宋_GB2312"/>
          <w:sz w:val="28"/>
          <w:szCs w:val="28"/>
        </w:rPr>
        <w:t>按照预决算信息公开要求，2021年度部门预决算在政府门户网站公告专栏栏目上公开，并对预算的收入情况、项目支出明细情况都作了相应的说明。</w:t>
      </w:r>
    </w:p>
    <w:p w14:paraId="76199206">
      <w:pPr>
        <w:spacing w:line="396" w:lineRule="auto"/>
        <w:ind w:firstLine="56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绩效目标完成情况分析</w:t>
      </w:r>
    </w:p>
    <w:p w14:paraId="2C06F78C">
      <w:pPr>
        <w:spacing w:line="396" w:lineRule="auto"/>
        <w:ind w:firstLine="560"/>
        <w:rPr>
          <w:rFonts w:ascii="宋体" w:hAnsi="宋体" w:eastAsia="宋体"/>
          <w:sz w:val="28"/>
          <w:szCs w:val="28"/>
        </w:rPr>
      </w:pPr>
      <w:r>
        <w:rPr>
          <w:rFonts w:hint="eastAsia" w:ascii="宋体" w:hAnsi="宋体" w:eastAsia="宋体"/>
          <w:sz w:val="28"/>
          <w:szCs w:val="28"/>
        </w:rPr>
        <w:t>（1）产出指标完成情况分析</w:t>
      </w:r>
    </w:p>
    <w:p w14:paraId="725B2C1D">
      <w:pPr>
        <w:spacing w:line="396" w:lineRule="auto"/>
        <w:ind w:firstLine="560"/>
        <w:rPr>
          <w:rFonts w:ascii="宋体" w:hAnsi="宋体" w:eastAsia="宋体" w:cs="仿宋"/>
          <w:sz w:val="28"/>
          <w:szCs w:val="28"/>
        </w:rPr>
      </w:pPr>
      <w:r>
        <w:rPr>
          <w:rFonts w:ascii="宋体" w:hAnsi="宋体" w:eastAsia="宋体" w:cs="仿宋"/>
          <w:sz w:val="28"/>
          <w:szCs w:val="28"/>
        </w:rPr>
        <w:fldChar w:fldCharType="begin"/>
      </w:r>
      <w:r>
        <w:rPr>
          <w:rFonts w:ascii="宋体" w:hAnsi="宋体" w:eastAsia="宋体" w:cs="仿宋"/>
          <w:sz w:val="28"/>
          <w:szCs w:val="28"/>
        </w:rPr>
        <w:instrText xml:space="preserve"> </w:instrText>
      </w:r>
      <w:r>
        <w:rPr>
          <w:rFonts w:hint="eastAsia" w:ascii="宋体" w:hAnsi="宋体" w:eastAsia="宋体" w:cs="仿宋"/>
          <w:sz w:val="28"/>
          <w:szCs w:val="28"/>
        </w:rPr>
        <w:instrText xml:space="preserve">= 1 \* GB3</w:instrText>
      </w:r>
      <w:r>
        <w:rPr>
          <w:rFonts w:ascii="宋体" w:hAnsi="宋体" w:eastAsia="宋体" w:cs="仿宋"/>
          <w:sz w:val="28"/>
          <w:szCs w:val="28"/>
        </w:rPr>
        <w:instrText xml:space="preserve"> </w:instrText>
      </w:r>
      <w:r>
        <w:rPr>
          <w:rFonts w:ascii="宋体" w:hAnsi="宋体" w:eastAsia="宋体" w:cs="仿宋"/>
          <w:sz w:val="28"/>
          <w:szCs w:val="28"/>
        </w:rPr>
        <w:fldChar w:fldCharType="separate"/>
      </w:r>
      <w:r>
        <w:rPr>
          <w:rFonts w:hint="eastAsia" w:ascii="宋体" w:hAnsi="宋体" w:eastAsia="宋体" w:cs="仿宋"/>
          <w:sz w:val="28"/>
          <w:szCs w:val="28"/>
        </w:rPr>
        <w:t>①</w:t>
      </w:r>
      <w:r>
        <w:rPr>
          <w:rFonts w:ascii="宋体" w:hAnsi="宋体" w:eastAsia="宋体" w:cs="仿宋"/>
          <w:sz w:val="28"/>
          <w:szCs w:val="28"/>
        </w:rPr>
        <w:fldChar w:fldCharType="end"/>
      </w:r>
      <w:r>
        <w:rPr>
          <w:rFonts w:ascii="宋体" w:hAnsi="宋体" w:eastAsia="宋体" w:cs="宋体"/>
          <w:bCs/>
          <w:sz w:val="28"/>
          <w:szCs w:val="28"/>
        </w:rPr>
        <w:t>城市功能不断完善</w:t>
      </w:r>
    </w:p>
    <w:p w14:paraId="040976A8">
      <w:pPr>
        <w:spacing w:line="396" w:lineRule="auto"/>
        <w:ind w:firstLine="560"/>
        <w:rPr>
          <w:rFonts w:ascii="宋体" w:hAnsi="宋体" w:eastAsia="宋体"/>
          <w:bCs/>
          <w:sz w:val="28"/>
          <w:szCs w:val="28"/>
        </w:rPr>
      </w:pPr>
      <w:r>
        <w:rPr>
          <w:rFonts w:ascii="宋体" w:hAnsi="宋体" w:eastAsia="宋体"/>
          <w:bCs/>
          <w:sz w:val="28"/>
          <w:szCs w:val="28"/>
        </w:rPr>
        <w:t>紧紧围绕城市品质提升，制定了《神韵随州补短板品质提升三年行动方案》，全年谋划实施城市重点工程建设项目121项，已开工105项，完工32项，完成投资近110亿元，有力的推动了城市能级提升。</w:t>
      </w:r>
    </w:p>
    <w:p w14:paraId="6DA33927">
      <w:pPr>
        <w:spacing w:line="396" w:lineRule="auto"/>
        <w:ind w:firstLine="560"/>
        <w:rPr>
          <w:rFonts w:ascii="宋体" w:hAnsi="宋体" w:eastAsia="宋体"/>
          <w:bCs/>
          <w:sz w:val="28"/>
          <w:szCs w:val="28"/>
        </w:rPr>
      </w:pPr>
      <w:r>
        <w:rPr>
          <w:rFonts w:ascii="宋体" w:hAnsi="宋体" w:eastAsia="宋体"/>
          <w:bCs/>
          <w:sz w:val="28"/>
          <w:szCs w:val="28"/>
        </w:rPr>
        <w:t>擂鼓墩大道、沿河大道等一批老城区主干道完成改造，冷家东巷等30余条背街小巷改造疏通，九大片区基础设施配套、城东应急水源工程、护城河生态引水工程等一批项目加快推进，城市公共服务保障能力进一步提升。</w:t>
      </w:r>
    </w:p>
    <w:p w14:paraId="047ED0CE">
      <w:pPr>
        <w:spacing w:line="396" w:lineRule="auto"/>
        <w:ind w:firstLine="560"/>
        <w:rPr>
          <w:rFonts w:ascii="宋体" w:hAnsi="宋体" w:eastAsia="宋体"/>
          <w:bCs/>
          <w:sz w:val="28"/>
          <w:szCs w:val="28"/>
        </w:rPr>
      </w:pPr>
      <w:r>
        <w:rPr>
          <w:rFonts w:ascii="宋体" w:hAnsi="宋体" w:eastAsia="宋体"/>
          <w:bCs/>
          <w:sz w:val="28"/>
          <w:szCs w:val="28"/>
        </w:rPr>
        <w:t>加强城区防汛排涝应急处置工作，整治易涝点7处，全面疏浚城区排水管网及城市内河明渠，建成排水管网信息化管理系统，加强汛期值守巡查，中心城区实现了</w:t>
      </w:r>
      <w:r>
        <w:rPr>
          <w:rFonts w:hint="eastAsia" w:ascii="宋体" w:hAnsi="宋体" w:eastAsia="宋体"/>
          <w:bCs/>
          <w:sz w:val="28"/>
          <w:szCs w:val="28"/>
          <w:lang w:eastAsia="zh-CN"/>
        </w:rPr>
        <w:t>安全度汛</w:t>
      </w:r>
      <w:r>
        <w:rPr>
          <w:rFonts w:ascii="宋体" w:hAnsi="宋体" w:eastAsia="宋体"/>
          <w:bCs/>
          <w:sz w:val="28"/>
          <w:szCs w:val="28"/>
        </w:rPr>
        <w:t>。</w:t>
      </w:r>
    </w:p>
    <w:p w14:paraId="34776C7B">
      <w:pPr>
        <w:spacing w:line="396" w:lineRule="auto"/>
        <w:ind w:firstLine="560"/>
        <w:rPr>
          <w:rFonts w:ascii="宋体" w:hAnsi="宋体" w:eastAsia="宋体"/>
          <w:bCs/>
          <w:sz w:val="28"/>
          <w:szCs w:val="28"/>
        </w:rPr>
      </w:pPr>
      <w:r>
        <w:rPr>
          <w:rFonts w:hint="eastAsia" w:ascii="宋体" w:hAnsi="宋体" w:eastAsia="宋体"/>
          <w:bCs/>
          <w:sz w:val="28"/>
          <w:szCs w:val="28"/>
        </w:rPr>
        <w:t xml:space="preserve"> </w:t>
      </w:r>
      <w:r>
        <w:rPr>
          <w:rFonts w:ascii="宋体" w:hAnsi="宋体" w:eastAsia="宋体"/>
          <w:bCs/>
          <w:sz w:val="28"/>
          <w:szCs w:val="28"/>
        </w:rPr>
        <w:t>突出文旅名城建设，启动了《随州市历史文化名城保护规划》编制，实施历史建筑挂牌保护30处；完成《草甸子街历史文化街区保护规划（修编）》编制，成立草甸子街历史文化街区改造建设指挥部，正式启动改造建设。</w:t>
      </w:r>
    </w:p>
    <w:p w14:paraId="3AF2E828">
      <w:pPr>
        <w:spacing w:line="396" w:lineRule="auto"/>
        <w:ind w:firstLine="560"/>
        <w:rPr>
          <w:rFonts w:ascii="宋体" w:hAnsi="宋体" w:eastAsia="宋体"/>
          <w:bCs/>
          <w:sz w:val="28"/>
          <w:szCs w:val="28"/>
        </w:rPr>
      </w:pPr>
      <w:r>
        <w:rPr>
          <w:rFonts w:ascii="宋体" w:hAnsi="宋体" w:eastAsia="宋体"/>
          <w:bCs/>
          <w:sz w:val="28"/>
          <w:szCs w:val="28"/>
        </w:rPr>
        <w:t>实施县城品质提升三年行动，</w:t>
      </w:r>
      <w:bookmarkStart w:id="0" w:name="OLE_LINK1"/>
      <w:r>
        <w:rPr>
          <w:rFonts w:ascii="宋体" w:hAnsi="宋体" w:eastAsia="宋体"/>
          <w:bCs/>
          <w:sz w:val="28"/>
          <w:szCs w:val="28"/>
        </w:rPr>
        <w:t>随县投资2500万元实施了县城污水处理强能扩容项目；广水实施“四馆三中心”装修和配套建设，城区雨污分流、黑臭水体整治有序推进；大洪山景区投资500万元</w:t>
      </w:r>
      <w:bookmarkEnd w:id="0"/>
      <w:r>
        <w:rPr>
          <w:rFonts w:ascii="宋体" w:hAnsi="宋体" w:eastAsia="宋体"/>
          <w:bCs/>
          <w:sz w:val="28"/>
          <w:szCs w:val="28"/>
        </w:rPr>
        <w:t>，实施管网改造和市政设施恢复重建，取得明显成效。</w:t>
      </w:r>
    </w:p>
    <w:p w14:paraId="2D3684A2">
      <w:pPr>
        <w:spacing w:line="396" w:lineRule="auto"/>
        <w:ind w:firstLine="560"/>
        <w:rPr>
          <w:rFonts w:ascii="宋体" w:hAnsi="宋体" w:eastAsia="宋体" w:cs="仿宋"/>
          <w:sz w:val="28"/>
          <w:szCs w:val="28"/>
        </w:rPr>
      </w:pPr>
      <w:r>
        <w:rPr>
          <w:rFonts w:ascii="宋体" w:hAnsi="宋体" w:eastAsia="宋体" w:cs="仿宋"/>
          <w:sz w:val="28"/>
          <w:szCs w:val="28"/>
        </w:rPr>
        <w:fldChar w:fldCharType="begin"/>
      </w:r>
      <w:r>
        <w:rPr>
          <w:rFonts w:ascii="宋体" w:hAnsi="宋体" w:eastAsia="宋体" w:cs="仿宋"/>
          <w:sz w:val="28"/>
          <w:szCs w:val="28"/>
        </w:rPr>
        <w:instrText xml:space="preserve"> </w:instrText>
      </w:r>
      <w:r>
        <w:rPr>
          <w:rFonts w:hint="eastAsia" w:ascii="宋体" w:hAnsi="宋体" w:eastAsia="宋体" w:cs="仿宋"/>
          <w:sz w:val="28"/>
          <w:szCs w:val="28"/>
        </w:rPr>
        <w:instrText xml:space="preserve">= 2 \* GB3</w:instrText>
      </w:r>
      <w:r>
        <w:rPr>
          <w:rFonts w:ascii="宋体" w:hAnsi="宋体" w:eastAsia="宋体" w:cs="仿宋"/>
          <w:sz w:val="28"/>
          <w:szCs w:val="28"/>
        </w:rPr>
        <w:instrText xml:space="preserve"> </w:instrText>
      </w:r>
      <w:r>
        <w:rPr>
          <w:rFonts w:ascii="宋体" w:hAnsi="宋体" w:eastAsia="宋体" w:cs="仿宋"/>
          <w:sz w:val="28"/>
          <w:szCs w:val="28"/>
        </w:rPr>
        <w:fldChar w:fldCharType="separate"/>
      </w:r>
      <w:r>
        <w:rPr>
          <w:rFonts w:hint="eastAsia" w:ascii="宋体" w:hAnsi="宋体" w:eastAsia="宋体" w:cs="仿宋"/>
          <w:sz w:val="28"/>
          <w:szCs w:val="28"/>
        </w:rPr>
        <w:t>②</w:t>
      </w:r>
      <w:r>
        <w:rPr>
          <w:rFonts w:ascii="宋体" w:hAnsi="宋体" w:eastAsia="宋体" w:cs="仿宋"/>
          <w:sz w:val="28"/>
          <w:szCs w:val="28"/>
        </w:rPr>
        <w:fldChar w:fldCharType="end"/>
      </w:r>
      <w:r>
        <w:rPr>
          <w:rFonts w:ascii="宋体" w:hAnsi="宋体" w:eastAsia="宋体"/>
          <w:bCs/>
          <w:sz w:val="28"/>
          <w:szCs w:val="28"/>
        </w:rPr>
        <w:t>民生保障坚实有力</w:t>
      </w:r>
    </w:p>
    <w:p w14:paraId="33DACD53">
      <w:pPr>
        <w:spacing w:line="396" w:lineRule="auto"/>
        <w:ind w:firstLine="560"/>
        <w:rPr>
          <w:rFonts w:ascii="宋体" w:hAnsi="宋体" w:eastAsia="宋体"/>
          <w:bCs/>
          <w:sz w:val="28"/>
          <w:szCs w:val="28"/>
        </w:rPr>
      </w:pPr>
      <w:r>
        <w:rPr>
          <w:rFonts w:ascii="宋体" w:hAnsi="宋体" w:eastAsia="宋体"/>
          <w:bCs/>
          <w:sz w:val="28"/>
          <w:szCs w:val="28"/>
        </w:rPr>
        <w:t>保障性安居工程实现了在全省争先进位目标，发放租赁补贴780户，占省定目标任务115%；棚户区改造新开工及基本建成均</w:t>
      </w:r>
      <w:r>
        <w:rPr>
          <w:rFonts w:hint="eastAsia" w:ascii="宋体" w:hAnsi="宋体" w:eastAsia="宋体"/>
          <w:bCs/>
          <w:sz w:val="28"/>
          <w:szCs w:val="28"/>
        </w:rPr>
        <w:t>完成</w:t>
      </w:r>
      <w:r>
        <w:rPr>
          <w:rFonts w:ascii="宋体" w:hAnsi="宋体" w:eastAsia="宋体"/>
          <w:bCs/>
          <w:sz w:val="28"/>
          <w:szCs w:val="28"/>
        </w:rPr>
        <w:t>省定目标任务，审计反馈六个方面22个问题整改全面完成，住房保障信息系统建设位居全省前列；出台《随州市公共租赁住房租金减免暂行规定》，租金减免惠及218个困难家庭。不断加大老旧小区改造马力，引导改造好的小区同步开展“红色物业”创建，“红色物业”示范小区创建已达到120个，得到省委组织部、省住建厅充分肯定。全面完成151个老旧小区改造目标任务</w:t>
      </w:r>
      <w:r>
        <w:rPr>
          <w:rFonts w:hint="eastAsia" w:ascii="宋体" w:hAnsi="宋体" w:eastAsia="宋体"/>
          <w:bCs/>
          <w:sz w:val="28"/>
          <w:szCs w:val="28"/>
        </w:rPr>
        <w:t>。</w:t>
      </w:r>
    </w:p>
    <w:p w14:paraId="46541EBE">
      <w:pPr>
        <w:spacing w:line="396" w:lineRule="auto"/>
        <w:ind w:firstLine="560"/>
        <w:rPr>
          <w:rFonts w:ascii="宋体" w:hAnsi="宋体" w:eastAsia="宋体"/>
          <w:bCs/>
          <w:sz w:val="28"/>
          <w:szCs w:val="28"/>
        </w:rPr>
      </w:pPr>
      <w:r>
        <w:rPr>
          <w:rFonts w:ascii="宋体" w:hAnsi="宋体" w:eastAsia="宋体"/>
          <w:bCs/>
          <w:sz w:val="28"/>
          <w:szCs w:val="28"/>
        </w:rPr>
        <w:t>出台了《随州市城区既有住宅增设电梯管理实施办法》，投资50万元开发了加装电梯申报子系统，完成增设电梯133部，全年受理加装申请114部，有效解决了居民爬梯之痛。</w:t>
      </w:r>
    </w:p>
    <w:p w14:paraId="6092C3F3">
      <w:pPr>
        <w:spacing w:line="396" w:lineRule="auto"/>
        <w:ind w:firstLine="560"/>
        <w:rPr>
          <w:rFonts w:ascii="宋体" w:hAnsi="宋体" w:eastAsia="宋体"/>
          <w:bCs/>
          <w:sz w:val="28"/>
          <w:szCs w:val="28"/>
        </w:rPr>
      </w:pPr>
      <w:r>
        <w:rPr>
          <w:rFonts w:ascii="宋体" w:hAnsi="宋体" w:eastAsia="宋体"/>
          <w:bCs/>
          <w:sz w:val="28"/>
          <w:szCs w:val="28"/>
        </w:rPr>
        <w:t>全力做好铁树、老火车站、草甸子等改造项目房屋征收工作，其中，铁树棚改签约率达95.3%，支付补偿款3.4亿元。</w:t>
      </w:r>
    </w:p>
    <w:p w14:paraId="3C81CA30">
      <w:pPr>
        <w:spacing w:line="396" w:lineRule="auto"/>
        <w:ind w:firstLine="560"/>
        <w:rPr>
          <w:rFonts w:ascii="宋体" w:hAnsi="宋体" w:eastAsia="宋体"/>
          <w:bCs/>
          <w:sz w:val="28"/>
          <w:szCs w:val="28"/>
        </w:rPr>
      </w:pPr>
      <w:r>
        <w:rPr>
          <w:rFonts w:ascii="宋体" w:hAnsi="宋体" w:eastAsia="宋体"/>
          <w:bCs/>
          <w:sz w:val="28"/>
          <w:szCs w:val="28"/>
        </w:rPr>
        <w:t>出台《随州市住宅专项维修资金管理实施细则》，完善住宅维修资金智慧管理系统，完成了5.1万笔、2.65亿元交存业务补录，实现线上交存、电子发票等便民服务。</w:t>
      </w:r>
    </w:p>
    <w:p w14:paraId="25AF54A0">
      <w:pPr>
        <w:spacing w:line="396" w:lineRule="auto"/>
        <w:ind w:firstLine="560"/>
        <w:rPr>
          <w:rFonts w:ascii="宋体" w:hAnsi="宋体" w:eastAsia="宋体"/>
          <w:bCs/>
          <w:sz w:val="28"/>
          <w:szCs w:val="28"/>
        </w:rPr>
      </w:pPr>
      <w:r>
        <w:rPr>
          <w:rFonts w:ascii="宋体" w:hAnsi="宋体" w:eastAsia="宋体" w:cs="仿宋"/>
          <w:sz w:val="28"/>
          <w:szCs w:val="28"/>
        </w:rPr>
        <w:fldChar w:fldCharType="begin"/>
      </w:r>
      <w:r>
        <w:rPr>
          <w:rFonts w:ascii="宋体" w:hAnsi="宋体" w:eastAsia="宋体" w:cs="仿宋"/>
          <w:sz w:val="28"/>
          <w:szCs w:val="28"/>
        </w:rPr>
        <w:instrText xml:space="preserve"> </w:instrText>
      </w:r>
      <w:r>
        <w:rPr>
          <w:rFonts w:hint="eastAsia" w:ascii="宋体" w:hAnsi="宋体" w:eastAsia="宋体" w:cs="仿宋"/>
          <w:sz w:val="28"/>
          <w:szCs w:val="28"/>
        </w:rPr>
        <w:instrText xml:space="preserve">= 3 \* GB3</w:instrText>
      </w:r>
      <w:r>
        <w:rPr>
          <w:rFonts w:ascii="宋体" w:hAnsi="宋体" w:eastAsia="宋体" w:cs="仿宋"/>
          <w:sz w:val="28"/>
          <w:szCs w:val="28"/>
        </w:rPr>
        <w:instrText xml:space="preserve"> </w:instrText>
      </w:r>
      <w:r>
        <w:rPr>
          <w:rFonts w:ascii="宋体" w:hAnsi="宋体" w:eastAsia="宋体" w:cs="仿宋"/>
          <w:sz w:val="28"/>
          <w:szCs w:val="28"/>
        </w:rPr>
        <w:fldChar w:fldCharType="separate"/>
      </w:r>
      <w:r>
        <w:rPr>
          <w:rFonts w:hint="eastAsia" w:ascii="宋体" w:hAnsi="宋体" w:eastAsia="宋体" w:cs="仿宋"/>
          <w:sz w:val="28"/>
          <w:szCs w:val="28"/>
        </w:rPr>
        <w:t>③</w:t>
      </w:r>
      <w:r>
        <w:rPr>
          <w:rFonts w:ascii="宋体" w:hAnsi="宋体" w:eastAsia="宋体" w:cs="仿宋"/>
          <w:sz w:val="28"/>
          <w:szCs w:val="28"/>
        </w:rPr>
        <w:fldChar w:fldCharType="end"/>
      </w:r>
      <w:r>
        <w:rPr>
          <w:rFonts w:ascii="宋体" w:hAnsi="宋体" w:eastAsia="宋体"/>
          <w:sz w:val="28"/>
          <w:szCs w:val="28"/>
        </w:rPr>
        <w:t>城市生态巩固提升</w:t>
      </w:r>
    </w:p>
    <w:p w14:paraId="6A72E691">
      <w:pPr>
        <w:spacing w:line="396" w:lineRule="auto"/>
        <w:ind w:firstLine="560"/>
        <w:rPr>
          <w:rFonts w:ascii="宋体" w:hAnsi="宋体" w:eastAsia="宋体"/>
          <w:bCs/>
          <w:sz w:val="28"/>
          <w:szCs w:val="28"/>
        </w:rPr>
      </w:pPr>
      <w:r>
        <w:rPr>
          <w:rFonts w:ascii="宋体" w:hAnsi="宋体" w:eastAsia="宋体"/>
          <w:sz w:val="28"/>
          <w:szCs w:val="28"/>
        </w:rPr>
        <w:t>持续提升城市生活污水处理质效，</w:t>
      </w:r>
      <w:r>
        <w:rPr>
          <w:rFonts w:ascii="宋体" w:hAnsi="宋体" w:eastAsia="宋体"/>
          <w:bCs/>
          <w:sz w:val="28"/>
          <w:szCs w:val="28"/>
        </w:rPr>
        <w:t>深入开展污水处理提质增效三年行动和环保督查反馈问题整改“回头看”，</w:t>
      </w:r>
      <w:r>
        <w:rPr>
          <w:rFonts w:ascii="宋体" w:hAnsi="宋体" w:eastAsia="宋体"/>
          <w:sz w:val="28"/>
          <w:szCs w:val="28"/>
        </w:rPr>
        <w:t>完成东西护城河互通、污水过河加压、真武二路雨污管网新建等工程；</w:t>
      </w:r>
      <w:r>
        <w:rPr>
          <w:rFonts w:ascii="宋体" w:hAnsi="宋体" w:eastAsia="宋体"/>
          <w:bCs/>
          <w:sz w:val="28"/>
          <w:szCs w:val="28"/>
        </w:rPr>
        <w:t>实施雨污分流改造50余公里，污泥无害化处置项目快速推进；</w:t>
      </w:r>
    </w:p>
    <w:p w14:paraId="51467ECE">
      <w:pPr>
        <w:spacing w:line="396" w:lineRule="auto"/>
        <w:ind w:firstLine="560"/>
        <w:rPr>
          <w:rFonts w:ascii="宋体" w:hAnsi="宋体" w:eastAsia="宋体"/>
          <w:sz w:val="28"/>
          <w:szCs w:val="28"/>
        </w:rPr>
      </w:pPr>
      <w:r>
        <w:rPr>
          <w:rFonts w:ascii="宋体" w:hAnsi="宋体" w:eastAsia="宋体"/>
          <w:bCs/>
          <w:sz w:val="28"/>
          <w:szCs w:val="28"/>
        </w:rPr>
        <w:t>加大对城市内河明渠的日常保洁管理，</w:t>
      </w:r>
      <w:r>
        <w:rPr>
          <w:rFonts w:ascii="宋体" w:hAnsi="宋体" w:eastAsia="宋体"/>
          <w:sz w:val="28"/>
          <w:szCs w:val="28"/>
        </w:rPr>
        <w:t>实施城市内河引水工程，实现清水长流，巩固提升中心城区14条黑臭水体治理成果；加强城市污水处理厂运行监管，城区生活污水集中处理率达97.</w:t>
      </w:r>
      <w:r>
        <w:rPr>
          <w:rFonts w:hint="eastAsia" w:ascii="宋体" w:hAnsi="宋体" w:eastAsia="宋体"/>
          <w:sz w:val="28"/>
          <w:szCs w:val="28"/>
        </w:rPr>
        <w:t>3</w:t>
      </w:r>
      <w:r>
        <w:rPr>
          <w:rFonts w:ascii="宋体" w:hAnsi="宋体" w:eastAsia="宋体"/>
          <w:sz w:val="28"/>
          <w:szCs w:val="28"/>
        </w:rPr>
        <w:t>%，</w:t>
      </w:r>
      <w:r>
        <w:rPr>
          <w:rFonts w:ascii="宋体" w:hAnsi="宋体" w:eastAsia="宋体"/>
          <w:bCs/>
          <w:sz w:val="28"/>
          <w:szCs w:val="28"/>
        </w:rPr>
        <w:t>顺利通过</w:t>
      </w:r>
      <w:r>
        <w:rPr>
          <w:rFonts w:ascii="宋体" w:hAnsi="宋体" w:eastAsia="宋体"/>
          <w:sz w:val="28"/>
          <w:szCs w:val="28"/>
        </w:rPr>
        <w:t>中央第二轮环保督察。</w:t>
      </w:r>
    </w:p>
    <w:p w14:paraId="7B316652">
      <w:pPr>
        <w:spacing w:line="396" w:lineRule="auto"/>
        <w:ind w:firstLine="560"/>
        <w:rPr>
          <w:rFonts w:ascii="宋体" w:hAnsi="宋体" w:eastAsia="宋体"/>
          <w:sz w:val="28"/>
          <w:szCs w:val="28"/>
        </w:rPr>
      </w:pPr>
      <w:r>
        <w:rPr>
          <w:rFonts w:ascii="宋体" w:hAnsi="宋体" w:eastAsia="宋体"/>
          <w:bCs/>
          <w:sz w:val="28"/>
          <w:szCs w:val="28"/>
        </w:rPr>
        <w:t>加大工地扬尘治理力度，约谈责任单位及责任人20家80余人，发</w:t>
      </w:r>
      <w:r>
        <w:rPr>
          <w:rFonts w:ascii="宋体" w:hAnsi="宋体" w:eastAsia="宋体"/>
          <w:sz w:val="28"/>
          <w:szCs w:val="28"/>
        </w:rPr>
        <w:t>通报4期，严控施工扬尘，有力保障城市优良天气。</w:t>
      </w:r>
    </w:p>
    <w:p w14:paraId="1FE8B04A">
      <w:pPr>
        <w:spacing w:line="396" w:lineRule="auto"/>
        <w:ind w:firstLine="560"/>
        <w:rPr>
          <w:rFonts w:ascii="宋体" w:hAnsi="宋体" w:eastAsia="宋体"/>
          <w:bCs/>
          <w:sz w:val="28"/>
          <w:szCs w:val="28"/>
        </w:rPr>
      </w:pPr>
      <w:r>
        <w:rPr>
          <w:rFonts w:ascii="宋体" w:hAnsi="宋体" w:eastAsia="宋体"/>
          <w:sz w:val="28"/>
          <w:szCs w:val="28"/>
        </w:rPr>
        <w:t>加快发展绿色建筑和建筑节能，编制出台《随州市预拌混凝土（砂浆）行业发展专项规划》，建筑节能和绿色建筑各项指标均超额完成省定目标任务</w:t>
      </w:r>
      <w:r>
        <w:rPr>
          <w:rFonts w:ascii="宋体" w:hAnsi="宋体" w:eastAsia="宋体"/>
          <w:bCs/>
          <w:sz w:val="28"/>
          <w:szCs w:val="28"/>
        </w:rPr>
        <w:t>，排在全省第一方阵。</w:t>
      </w:r>
    </w:p>
    <w:p w14:paraId="4C03A741">
      <w:pPr>
        <w:spacing w:line="396" w:lineRule="auto"/>
        <w:ind w:firstLine="56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w:instrText>
      </w:r>
      <w:r>
        <w:rPr>
          <w:rFonts w:hint="eastAsia" w:ascii="宋体" w:hAnsi="宋体" w:eastAsia="宋体"/>
          <w:sz w:val="28"/>
          <w:szCs w:val="28"/>
        </w:rPr>
        <w:instrText xml:space="preserve">= 4 \* GB3</w:instrText>
      </w:r>
      <w:r>
        <w:rPr>
          <w:rFonts w:ascii="宋体" w:hAnsi="宋体" w:eastAsia="宋体"/>
          <w:sz w:val="28"/>
          <w:szCs w:val="28"/>
        </w:rPr>
        <w:instrText xml:space="preserve"> </w:instrText>
      </w:r>
      <w:r>
        <w:rPr>
          <w:rFonts w:ascii="宋体" w:hAnsi="宋体" w:eastAsia="宋体"/>
          <w:sz w:val="28"/>
          <w:szCs w:val="28"/>
        </w:rPr>
        <w:fldChar w:fldCharType="separate"/>
      </w:r>
      <w:r>
        <w:rPr>
          <w:rFonts w:hint="eastAsia" w:ascii="宋体" w:hAnsi="宋体" w:eastAsia="宋体"/>
          <w:sz w:val="28"/>
          <w:szCs w:val="28"/>
        </w:rPr>
        <w:t>④</w:t>
      </w:r>
      <w:r>
        <w:rPr>
          <w:rFonts w:ascii="宋体" w:hAnsi="宋体" w:eastAsia="宋体"/>
          <w:sz w:val="28"/>
          <w:szCs w:val="28"/>
        </w:rPr>
        <w:fldChar w:fldCharType="end"/>
      </w:r>
      <w:r>
        <w:rPr>
          <w:rFonts w:ascii="宋体" w:hAnsi="宋体" w:eastAsia="宋体"/>
          <w:sz w:val="28"/>
          <w:szCs w:val="28"/>
        </w:rPr>
        <w:t>村镇建设特色彰显</w:t>
      </w:r>
    </w:p>
    <w:p w14:paraId="2D030174">
      <w:pPr>
        <w:spacing w:line="396" w:lineRule="auto"/>
        <w:ind w:firstLine="560"/>
        <w:rPr>
          <w:rFonts w:ascii="宋体" w:hAnsi="宋体" w:eastAsia="宋体"/>
          <w:bCs/>
          <w:sz w:val="28"/>
          <w:szCs w:val="28"/>
        </w:rPr>
      </w:pPr>
      <w:r>
        <w:rPr>
          <w:rFonts w:ascii="宋体" w:hAnsi="宋体" w:eastAsia="宋体"/>
          <w:bCs/>
          <w:sz w:val="28"/>
          <w:szCs w:val="28"/>
        </w:rPr>
        <w:t>深入开展“擦亮小城镇”建设美丽城镇行动，充分结合培育镇域“小老虎”，集中连片建设5个示范片区，提档升级18个小城镇品质。</w:t>
      </w:r>
    </w:p>
    <w:p w14:paraId="0F868214">
      <w:pPr>
        <w:spacing w:line="396" w:lineRule="auto"/>
        <w:ind w:firstLine="560"/>
        <w:rPr>
          <w:rFonts w:ascii="宋体" w:hAnsi="宋体" w:eastAsia="宋体"/>
          <w:bCs/>
          <w:sz w:val="28"/>
          <w:szCs w:val="28"/>
        </w:rPr>
      </w:pPr>
      <w:r>
        <w:rPr>
          <w:rFonts w:ascii="宋体" w:hAnsi="宋体" w:eastAsia="宋体"/>
          <w:bCs/>
          <w:sz w:val="28"/>
          <w:szCs w:val="28"/>
        </w:rPr>
        <w:t>随县、大洪山再投入8000余万元启动污水收集管网延伸项目，提高乡镇污水处理厂运行负荷率；各县市区全面启动乡镇生活污水处理费征收工作，实现所有乡镇全覆盖，切实保障乡镇生活污水处理设施“建得起、管得好、能长远”，多次获得省住建厅通报表彰。</w:t>
      </w:r>
    </w:p>
    <w:p w14:paraId="5C19ED76">
      <w:pPr>
        <w:spacing w:line="396" w:lineRule="auto"/>
        <w:ind w:firstLine="560"/>
        <w:rPr>
          <w:rFonts w:ascii="宋体" w:hAnsi="宋体" w:eastAsia="宋体"/>
          <w:bCs/>
          <w:sz w:val="28"/>
          <w:szCs w:val="28"/>
        </w:rPr>
      </w:pPr>
      <w:r>
        <w:rPr>
          <w:rFonts w:ascii="宋体" w:hAnsi="宋体" w:eastAsia="宋体"/>
          <w:bCs/>
          <w:sz w:val="28"/>
          <w:szCs w:val="28"/>
        </w:rPr>
        <w:t>开展农房安全隐患排查整治，累计排查农村房屋42万</w:t>
      </w:r>
      <w:r>
        <w:rPr>
          <w:rFonts w:hint="eastAsia" w:ascii="宋体" w:hAnsi="宋体" w:eastAsia="宋体"/>
          <w:bCs/>
          <w:sz w:val="28"/>
          <w:szCs w:val="28"/>
        </w:rPr>
        <w:t>余</w:t>
      </w:r>
      <w:r>
        <w:rPr>
          <w:rFonts w:ascii="宋体" w:hAnsi="宋体" w:eastAsia="宋体"/>
          <w:bCs/>
          <w:sz w:val="28"/>
          <w:szCs w:val="28"/>
        </w:rPr>
        <w:t>户，</w:t>
      </w:r>
      <w:r>
        <w:rPr>
          <w:rFonts w:ascii="宋体" w:hAnsi="宋体" w:eastAsia="宋体"/>
          <w:sz w:val="28"/>
          <w:szCs w:val="28"/>
        </w:rPr>
        <w:t>在全省率先实现849个行政村排查录入全覆盖，实现了“三清零”，其它房屋安全隐患平均整治率达82%。兜牢托稳农村危房改造，拨付危改资金1578万元，</w:t>
      </w:r>
      <w:r>
        <w:rPr>
          <w:rFonts w:ascii="宋体" w:hAnsi="宋体" w:eastAsia="宋体"/>
          <w:bCs/>
          <w:sz w:val="28"/>
          <w:szCs w:val="28"/>
        </w:rPr>
        <w:t>坚持“修旧如旧、挂牌保护”，强化4个传统村落保护。</w:t>
      </w:r>
    </w:p>
    <w:p w14:paraId="6CE02861">
      <w:pPr>
        <w:spacing w:line="396" w:lineRule="auto"/>
        <w:ind w:firstLine="560"/>
        <w:rPr>
          <w:rFonts w:ascii="宋体" w:hAnsi="宋体" w:eastAsia="宋体"/>
          <w:bCs/>
          <w:sz w:val="28"/>
          <w:szCs w:val="28"/>
        </w:rPr>
      </w:pPr>
      <w:r>
        <w:rPr>
          <w:rFonts w:ascii="宋体" w:hAnsi="宋体" w:eastAsia="宋体" w:cs="仿宋"/>
          <w:sz w:val="28"/>
          <w:szCs w:val="28"/>
        </w:rPr>
        <w:fldChar w:fldCharType="begin"/>
      </w:r>
      <w:r>
        <w:rPr>
          <w:rFonts w:ascii="宋体" w:hAnsi="宋体" w:eastAsia="宋体" w:cs="仿宋"/>
          <w:sz w:val="28"/>
          <w:szCs w:val="28"/>
        </w:rPr>
        <w:instrText xml:space="preserve"> </w:instrText>
      </w:r>
      <w:r>
        <w:rPr>
          <w:rFonts w:hint="eastAsia" w:ascii="宋体" w:hAnsi="宋体" w:eastAsia="宋体" w:cs="仿宋"/>
          <w:sz w:val="28"/>
          <w:szCs w:val="28"/>
        </w:rPr>
        <w:instrText xml:space="preserve">= 5 \* GB3</w:instrText>
      </w:r>
      <w:r>
        <w:rPr>
          <w:rFonts w:ascii="宋体" w:hAnsi="宋体" w:eastAsia="宋体" w:cs="仿宋"/>
          <w:sz w:val="28"/>
          <w:szCs w:val="28"/>
        </w:rPr>
        <w:instrText xml:space="preserve"> </w:instrText>
      </w:r>
      <w:r>
        <w:rPr>
          <w:rFonts w:ascii="宋体" w:hAnsi="宋体" w:eastAsia="宋体" w:cs="仿宋"/>
          <w:sz w:val="28"/>
          <w:szCs w:val="28"/>
        </w:rPr>
        <w:fldChar w:fldCharType="separate"/>
      </w:r>
      <w:r>
        <w:rPr>
          <w:rFonts w:hint="eastAsia" w:ascii="宋体" w:hAnsi="宋体" w:eastAsia="宋体" w:cs="仿宋"/>
          <w:sz w:val="28"/>
          <w:szCs w:val="28"/>
        </w:rPr>
        <w:t>⑤</w:t>
      </w:r>
      <w:r>
        <w:rPr>
          <w:rFonts w:ascii="宋体" w:hAnsi="宋体" w:eastAsia="宋体" w:cs="仿宋"/>
          <w:sz w:val="28"/>
          <w:szCs w:val="28"/>
        </w:rPr>
        <w:fldChar w:fldCharType="end"/>
      </w:r>
      <w:r>
        <w:rPr>
          <w:rFonts w:ascii="宋体" w:hAnsi="宋体" w:eastAsia="宋体"/>
          <w:bCs/>
          <w:sz w:val="28"/>
          <w:szCs w:val="28"/>
        </w:rPr>
        <w:t>行业监管持续发力</w:t>
      </w:r>
    </w:p>
    <w:p w14:paraId="1D695E3B">
      <w:pPr>
        <w:spacing w:line="396" w:lineRule="auto"/>
        <w:ind w:firstLine="560"/>
        <w:rPr>
          <w:rFonts w:ascii="宋体" w:hAnsi="宋体" w:eastAsia="宋体"/>
          <w:bCs/>
          <w:sz w:val="28"/>
          <w:szCs w:val="28"/>
        </w:rPr>
      </w:pPr>
      <w:r>
        <w:rPr>
          <w:rFonts w:ascii="宋体" w:hAnsi="宋体" w:eastAsia="宋体"/>
          <w:bCs/>
          <w:sz w:val="28"/>
          <w:szCs w:val="28"/>
        </w:rPr>
        <w:t>坚持“底线思维、红线意识”，严厉打击住建领域各类违法违规行为，立案查处违法违规项目13个，下达停工、整改通知书323余份，约谈项目负责人11人，起到了震慑效果。</w:t>
      </w:r>
    </w:p>
    <w:p w14:paraId="08E11FF6">
      <w:pPr>
        <w:spacing w:line="396" w:lineRule="auto"/>
        <w:ind w:firstLine="560"/>
        <w:rPr>
          <w:rFonts w:ascii="宋体" w:hAnsi="宋体" w:eastAsia="宋体"/>
          <w:bCs/>
          <w:sz w:val="28"/>
          <w:szCs w:val="28"/>
        </w:rPr>
      </w:pPr>
      <w:r>
        <w:rPr>
          <w:rFonts w:ascii="宋体" w:hAnsi="宋体" w:eastAsia="宋体"/>
          <w:bCs/>
          <w:sz w:val="28"/>
          <w:szCs w:val="28"/>
        </w:rPr>
        <w:t>强化工程质量安全监管，深入开展施工质量安全隐患大排查、大整治专项行动，强化竣工验收备案和消防验收备案抽查，组织开展工程品质提升现场观摩和建筑职工技能竞赛活动，“一证两书”试点工作得到省住建厅充分肯定，荣获省建筑结构优质工程、省建设优质工程21项，建筑工程质量安全水平稳步提升。</w:t>
      </w:r>
    </w:p>
    <w:p w14:paraId="57678533">
      <w:pPr>
        <w:spacing w:line="396" w:lineRule="auto"/>
        <w:ind w:firstLine="560"/>
        <w:rPr>
          <w:rFonts w:ascii="宋体" w:hAnsi="宋体" w:eastAsia="宋体"/>
          <w:bCs/>
          <w:sz w:val="28"/>
          <w:szCs w:val="28"/>
        </w:rPr>
      </w:pPr>
      <w:r>
        <w:rPr>
          <w:rFonts w:ascii="宋体" w:hAnsi="宋体" w:eastAsia="宋体"/>
          <w:bCs/>
          <w:sz w:val="28"/>
          <w:szCs w:val="28"/>
        </w:rPr>
        <w:t>加强城镇安全生产监管，充分发挥市燃气专委会牵头抓总作用，建立燃气安全隐患大排查大整治等工作机制，建立智慧燃气系统，开展液化气配送“最后一公里”安全专项整治行动，完成燃气安全隐患整改916条，城市燃气监管实现“管网一张图、用户一张网、监控一张屏”。</w:t>
      </w:r>
    </w:p>
    <w:p w14:paraId="4FC453BC">
      <w:pPr>
        <w:spacing w:line="396" w:lineRule="auto"/>
        <w:ind w:firstLine="560"/>
        <w:rPr>
          <w:rFonts w:ascii="宋体" w:hAnsi="宋体" w:eastAsia="宋体"/>
          <w:bCs/>
          <w:sz w:val="28"/>
          <w:szCs w:val="28"/>
        </w:rPr>
      </w:pPr>
      <w:r>
        <w:rPr>
          <w:rFonts w:ascii="宋体" w:hAnsi="宋体" w:eastAsia="宋体"/>
          <w:bCs/>
          <w:sz w:val="28"/>
          <w:szCs w:val="28"/>
        </w:rPr>
        <w:t>深入推进“互联网+监管”、“双随机、一公开”，加快“智慧住建”建设，建成覆盖住建领域6大信息系统47个子系统；整合力量，投资100多万元，高标准建设住建信息指挥中心，提高行业数字化、智慧化、规范化监管效能。</w:t>
      </w:r>
    </w:p>
    <w:p w14:paraId="5E3306FD">
      <w:pPr>
        <w:spacing w:line="396" w:lineRule="auto"/>
        <w:ind w:firstLine="560"/>
        <w:rPr>
          <w:rFonts w:ascii="宋体" w:hAnsi="宋体" w:eastAsia="宋体"/>
          <w:bCs/>
          <w:sz w:val="28"/>
          <w:szCs w:val="28"/>
        </w:rPr>
      </w:pPr>
      <w:r>
        <w:rPr>
          <w:rFonts w:ascii="宋体" w:hAnsi="宋体" w:eastAsia="宋体"/>
          <w:bCs/>
          <w:sz w:val="28"/>
          <w:szCs w:val="28"/>
        </w:rPr>
        <w:t>做好第一次自然灾害综合风险普查、城镇房屋安全隐患排查和安全鉴定，房屋调查进度91%，市政设施普查进度100%，超全省平均水平，其中广水市房屋和市政调查进度均达100%，率先完成调查任务；下达《危险房屋通知书》11份；办理鉴定业务205笔、面积10.3万平方米。</w:t>
      </w:r>
    </w:p>
    <w:p w14:paraId="6EDC6FA3">
      <w:pPr>
        <w:spacing w:line="396" w:lineRule="auto"/>
        <w:ind w:firstLine="560"/>
        <w:rPr>
          <w:rFonts w:ascii="宋体" w:hAnsi="宋体" w:eastAsia="宋体"/>
          <w:b/>
          <w:bCs/>
          <w:sz w:val="28"/>
          <w:szCs w:val="28"/>
        </w:rPr>
      </w:pPr>
      <w:r>
        <w:rPr>
          <w:rFonts w:ascii="宋体" w:hAnsi="宋体" w:eastAsia="宋体" w:cs="仿宋"/>
          <w:sz w:val="28"/>
          <w:szCs w:val="28"/>
        </w:rPr>
        <w:fldChar w:fldCharType="begin"/>
      </w:r>
      <w:r>
        <w:rPr>
          <w:rFonts w:ascii="宋体" w:hAnsi="宋体" w:eastAsia="宋体" w:cs="仿宋"/>
          <w:sz w:val="28"/>
          <w:szCs w:val="28"/>
        </w:rPr>
        <w:instrText xml:space="preserve"> </w:instrText>
      </w:r>
      <w:r>
        <w:rPr>
          <w:rFonts w:hint="eastAsia" w:ascii="宋体" w:hAnsi="宋体" w:eastAsia="宋体" w:cs="仿宋"/>
          <w:sz w:val="28"/>
          <w:szCs w:val="28"/>
        </w:rPr>
        <w:instrText xml:space="preserve">= 6 \* GB3</w:instrText>
      </w:r>
      <w:r>
        <w:rPr>
          <w:rFonts w:ascii="宋体" w:hAnsi="宋体" w:eastAsia="宋体" w:cs="仿宋"/>
          <w:sz w:val="28"/>
          <w:szCs w:val="28"/>
        </w:rPr>
        <w:instrText xml:space="preserve"> </w:instrText>
      </w:r>
      <w:r>
        <w:rPr>
          <w:rFonts w:ascii="宋体" w:hAnsi="宋体" w:eastAsia="宋体" w:cs="仿宋"/>
          <w:sz w:val="28"/>
          <w:szCs w:val="28"/>
        </w:rPr>
        <w:fldChar w:fldCharType="separate"/>
      </w:r>
      <w:r>
        <w:rPr>
          <w:rFonts w:hint="eastAsia" w:ascii="宋体" w:hAnsi="宋体" w:eastAsia="宋体" w:cs="仿宋"/>
          <w:sz w:val="28"/>
          <w:szCs w:val="28"/>
        </w:rPr>
        <w:t>⑥</w:t>
      </w:r>
      <w:r>
        <w:rPr>
          <w:rFonts w:ascii="宋体" w:hAnsi="宋体" w:eastAsia="宋体" w:cs="仿宋"/>
          <w:sz w:val="28"/>
          <w:szCs w:val="28"/>
        </w:rPr>
        <w:fldChar w:fldCharType="end"/>
      </w:r>
      <w:r>
        <w:rPr>
          <w:rFonts w:ascii="宋体" w:hAnsi="宋体" w:eastAsia="宋体"/>
          <w:bCs/>
          <w:sz w:val="28"/>
          <w:szCs w:val="28"/>
        </w:rPr>
        <w:t>产业发展克难求进</w:t>
      </w:r>
    </w:p>
    <w:p w14:paraId="06A1F544">
      <w:pPr>
        <w:spacing w:line="396" w:lineRule="auto"/>
        <w:ind w:firstLine="560"/>
        <w:rPr>
          <w:rFonts w:ascii="宋体" w:hAnsi="宋体" w:eastAsia="宋体"/>
          <w:bCs/>
          <w:sz w:val="28"/>
          <w:szCs w:val="28"/>
        </w:rPr>
      </w:pPr>
      <w:r>
        <w:rPr>
          <w:rFonts w:ascii="宋体" w:hAnsi="宋体" w:eastAsia="宋体"/>
          <w:bCs/>
          <w:sz w:val="28"/>
          <w:szCs w:val="28"/>
        </w:rPr>
        <w:t>坚持“房住不炒”定位，加强房地产市场调控，开展房地产市场专项检查，立案2起，下达整改通知书29份，推动房地产业平稳健康发展，实现“稳房价、稳地价、稳预期”工作目标，全年商品房销售面积120.4万平方米，同比增长20.8%；完成房地产投资89.9亿元，同比增长54.5%。</w:t>
      </w:r>
    </w:p>
    <w:p w14:paraId="01D2F15E">
      <w:pPr>
        <w:spacing w:line="396" w:lineRule="auto"/>
        <w:ind w:firstLine="560"/>
        <w:rPr>
          <w:rFonts w:ascii="宋体" w:hAnsi="宋体" w:eastAsia="宋体"/>
          <w:bCs/>
          <w:sz w:val="28"/>
          <w:szCs w:val="28"/>
        </w:rPr>
      </w:pPr>
      <w:r>
        <w:rPr>
          <w:rFonts w:ascii="宋体" w:hAnsi="宋体" w:eastAsia="宋体"/>
          <w:bCs/>
          <w:sz w:val="28"/>
          <w:szCs w:val="28"/>
        </w:rPr>
        <w:t>全力防范化解房地产市场风险，组建了4个矛盾化解工作专班，制定了“一项一策”工作方案，多方协调、筹措资金，全力防范化解绿地、碧海名居、随园嘉墅，特别是恒大等问题楼盘资金链断裂、工程推进困难、延期交房等风险，推动实现复工交楼目标。</w:t>
      </w:r>
    </w:p>
    <w:p w14:paraId="2642445F">
      <w:pPr>
        <w:spacing w:line="396" w:lineRule="auto"/>
        <w:ind w:firstLine="560"/>
        <w:rPr>
          <w:rFonts w:ascii="宋体" w:hAnsi="宋体" w:eastAsia="宋体"/>
          <w:bCs/>
          <w:sz w:val="28"/>
          <w:szCs w:val="28"/>
        </w:rPr>
      </w:pPr>
      <w:r>
        <w:rPr>
          <w:rFonts w:ascii="宋体" w:hAnsi="宋体" w:eastAsia="宋体"/>
          <w:bCs/>
          <w:sz w:val="28"/>
          <w:szCs w:val="28"/>
        </w:rPr>
        <w:t>全力扶持建筑业发展，出台支持我市建筑业重点培育企业加快发展通知，先后扶持2家建筑总承包企业、1家公路总承包企业和1家监理企业晋升一级资质，11家专业承包企业晋升二级资质，全年完成建筑业产值115亿元，同比增长6.6%，实现</w:t>
      </w:r>
      <w:r>
        <w:rPr>
          <w:rFonts w:hint="eastAsia" w:ascii="宋体" w:hAnsi="宋体" w:eastAsia="宋体"/>
          <w:bCs/>
          <w:sz w:val="28"/>
          <w:szCs w:val="28"/>
        </w:rPr>
        <w:t>了</w:t>
      </w:r>
      <w:r>
        <w:rPr>
          <w:rFonts w:ascii="宋体" w:hAnsi="宋体" w:eastAsia="宋体"/>
          <w:bCs/>
          <w:sz w:val="28"/>
          <w:szCs w:val="28"/>
        </w:rPr>
        <w:t>房地产业和建筑业两大产业的逆势增长。</w:t>
      </w:r>
    </w:p>
    <w:p w14:paraId="3043BD4C">
      <w:pPr>
        <w:spacing w:line="396" w:lineRule="auto"/>
        <w:ind w:firstLine="560"/>
        <w:rPr>
          <w:rFonts w:ascii="宋体" w:hAnsi="宋体" w:eastAsia="宋体"/>
          <w:bCs/>
          <w:sz w:val="28"/>
          <w:szCs w:val="28"/>
        </w:rPr>
      </w:pPr>
      <w:r>
        <w:rPr>
          <w:rFonts w:ascii="宋体" w:hAnsi="宋体" w:eastAsia="宋体"/>
          <w:bCs/>
          <w:sz w:val="28"/>
          <w:szCs w:val="28"/>
        </w:rPr>
        <w:fldChar w:fldCharType="begin"/>
      </w:r>
      <w:r>
        <w:rPr>
          <w:rFonts w:ascii="宋体" w:hAnsi="宋体" w:eastAsia="宋体"/>
          <w:bCs/>
          <w:sz w:val="28"/>
          <w:szCs w:val="28"/>
        </w:rPr>
        <w:instrText xml:space="preserve"> </w:instrText>
      </w:r>
      <w:r>
        <w:rPr>
          <w:rFonts w:hint="eastAsia" w:ascii="宋体" w:hAnsi="宋体" w:eastAsia="宋体"/>
          <w:bCs/>
          <w:sz w:val="28"/>
          <w:szCs w:val="28"/>
        </w:rPr>
        <w:instrText xml:space="preserve">= 7 \* GB3</w:instrText>
      </w:r>
      <w:r>
        <w:rPr>
          <w:rFonts w:ascii="宋体" w:hAnsi="宋体" w:eastAsia="宋体"/>
          <w:bCs/>
          <w:sz w:val="28"/>
          <w:szCs w:val="28"/>
        </w:rPr>
        <w:instrText xml:space="preserve"> </w:instrText>
      </w:r>
      <w:r>
        <w:rPr>
          <w:rFonts w:ascii="宋体" w:hAnsi="宋体" w:eastAsia="宋体"/>
          <w:bCs/>
          <w:sz w:val="28"/>
          <w:szCs w:val="28"/>
        </w:rPr>
        <w:fldChar w:fldCharType="separate"/>
      </w:r>
      <w:r>
        <w:rPr>
          <w:rFonts w:hint="eastAsia" w:ascii="宋体" w:hAnsi="宋体" w:eastAsia="宋体"/>
          <w:bCs/>
          <w:sz w:val="28"/>
          <w:szCs w:val="28"/>
        </w:rPr>
        <w:t>⑦</w:t>
      </w:r>
      <w:r>
        <w:rPr>
          <w:rFonts w:ascii="宋体" w:hAnsi="宋体" w:eastAsia="宋体"/>
          <w:bCs/>
          <w:sz w:val="28"/>
          <w:szCs w:val="28"/>
        </w:rPr>
        <w:fldChar w:fldCharType="end"/>
      </w:r>
      <w:r>
        <w:rPr>
          <w:rFonts w:ascii="宋体" w:hAnsi="宋体" w:eastAsia="宋体"/>
          <w:sz w:val="28"/>
          <w:szCs w:val="28"/>
        </w:rPr>
        <w:t>营商</w:t>
      </w:r>
      <w:r>
        <w:rPr>
          <w:rFonts w:ascii="宋体" w:hAnsi="宋体" w:eastAsia="宋体"/>
          <w:bCs/>
          <w:sz w:val="28"/>
          <w:szCs w:val="28"/>
        </w:rPr>
        <w:t>环境提质增效</w:t>
      </w:r>
    </w:p>
    <w:p w14:paraId="1AF4AA91">
      <w:pPr>
        <w:spacing w:line="396" w:lineRule="auto"/>
        <w:ind w:firstLine="560"/>
        <w:rPr>
          <w:rFonts w:ascii="宋体" w:hAnsi="宋体" w:eastAsia="宋体"/>
          <w:bCs/>
          <w:sz w:val="28"/>
          <w:szCs w:val="28"/>
        </w:rPr>
      </w:pPr>
      <w:r>
        <w:rPr>
          <w:rFonts w:ascii="宋体" w:hAnsi="宋体" w:eastAsia="宋体"/>
          <w:bCs/>
          <w:sz w:val="28"/>
          <w:szCs w:val="28"/>
        </w:rPr>
        <w:t>持续推进工程审批制度改革，审批事项从改革前138项精简为56项，审批时限率先在全省压缩至 “70、50、30、20”，连续两年被省激励奖励，共获奖励资金150万元；</w:t>
      </w:r>
    </w:p>
    <w:p w14:paraId="1D778E8D">
      <w:pPr>
        <w:spacing w:line="396" w:lineRule="auto"/>
        <w:ind w:firstLine="560"/>
        <w:rPr>
          <w:rFonts w:ascii="宋体" w:hAnsi="宋体" w:eastAsia="宋体"/>
          <w:bCs/>
          <w:sz w:val="28"/>
          <w:szCs w:val="28"/>
        </w:rPr>
      </w:pPr>
      <w:r>
        <w:rPr>
          <w:rFonts w:ascii="宋体" w:hAnsi="宋体" w:eastAsia="宋体"/>
          <w:bCs/>
          <w:sz w:val="28"/>
          <w:szCs w:val="28"/>
        </w:rPr>
        <w:t>落实“证照分离”改革各项任务，以告知承诺制方式审批发放建筑业企业资质证书116家，建筑工程安全生产许可证书延期83家；实施“清减降”行动，用水用气报装实现“零收费”，废止文件23件，修改4件，确认继续有效16件，市住建局荣获“随州市优化营商环境先进集体”。</w:t>
      </w:r>
    </w:p>
    <w:p w14:paraId="0403E805">
      <w:pPr>
        <w:spacing w:line="396" w:lineRule="auto"/>
        <w:ind w:firstLine="560"/>
        <w:rPr>
          <w:rFonts w:ascii="宋体" w:hAnsi="宋体" w:eastAsia="宋体"/>
          <w:bCs/>
          <w:sz w:val="28"/>
          <w:szCs w:val="28"/>
        </w:rPr>
      </w:pPr>
      <w:r>
        <w:rPr>
          <w:rFonts w:ascii="宋体" w:hAnsi="宋体" w:eastAsia="宋体"/>
          <w:bCs/>
          <w:sz w:val="28"/>
          <w:szCs w:val="28"/>
        </w:rPr>
        <w:t>推进扩权赋能强县工作，赋权随州高新区19项，下放街道办事处行政处罚权29项，激发基层发展动能和活力。</w:t>
      </w:r>
    </w:p>
    <w:p w14:paraId="728A81FE">
      <w:pPr>
        <w:spacing w:line="396" w:lineRule="auto"/>
        <w:ind w:firstLine="560"/>
        <w:rPr>
          <w:rFonts w:ascii="宋体" w:hAnsi="宋体" w:eastAsia="宋体"/>
          <w:bCs/>
          <w:sz w:val="28"/>
          <w:szCs w:val="28"/>
        </w:rPr>
      </w:pPr>
      <w:r>
        <w:rPr>
          <w:rFonts w:ascii="宋体" w:hAnsi="宋体" w:eastAsia="宋体"/>
          <w:bCs/>
          <w:sz w:val="28"/>
          <w:szCs w:val="28"/>
        </w:rPr>
        <w:t>积极推进城市供水保障机制改革，妥善处理信访稳定问题，供水改革重组资产转让协议成功签订，</w:t>
      </w:r>
      <w:r>
        <w:rPr>
          <w:rFonts w:hint="eastAsia" w:ascii="宋体" w:hAnsi="宋体" w:eastAsia="宋体"/>
          <w:bCs/>
          <w:sz w:val="28"/>
          <w:szCs w:val="28"/>
        </w:rPr>
        <w:t>新组建</w:t>
      </w:r>
      <w:r>
        <w:rPr>
          <w:rFonts w:ascii="宋体" w:hAnsi="宋体" w:eastAsia="宋体"/>
          <w:bCs/>
          <w:sz w:val="28"/>
          <w:szCs w:val="28"/>
        </w:rPr>
        <w:t>成立随州市水务集团</w:t>
      </w:r>
      <w:r>
        <w:rPr>
          <w:rFonts w:hint="eastAsia" w:ascii="宋体" w:hAnsi="宋体" w:eastAsia="宋体"/>
          <w:bCs/>
          <w:sz w:val="28"/>
          <w:szCs w:val="28"/>
        </w:rPr>
        <w:t>，并</w:t>
      </w:r>
      <w:r>
        <w:rPr>
          <w:rFonts w:ascii="宋体" w:hAnsi="宋体" w:eastAsia="宋体"/>
          <w:bCs/>
          <w:sz w:val="28"/>
          <w:szCs w:val="28"/>
        </w:rPr>
        <w:t>正式</w:t>
      </w:r>
      <w:r>
        <w:rPr>
          <w:rFonts w:hint="eastAsia" w:ascii="宋体" w:hAnsi="宋体" w:eastAsia="宋体"/>
          <w:bCs/>
          <w:sz w:val="28"/>
          <w:szCs w:val="28"/>
        </w:rPr>
        <w:t>挂牌运营</w:t>
      </w:r>
      <w:r>
        <w:rPr>
          <w:rFonts w:ascii="宋体" w:hAnsi="宋体" w:eastAsia="宋体"/>
          <w:bCs/>
          <w:sz w:val="28"/>
          <w:szCs w:val="28"/>
        </w:rPr>
        <w:t>，实现了供水安全保障目标，城市供水保障机制改革取得突出成效。</w:t>
      </w:r>
    </w:p>
    <w:p w14:paraId="4A78B229">
      <w:pPr>
        <w:spacing w:line="396" w:lineRule="auto"/>
        <w:ind w:firstLine="560"/>
        <w:rPr>
          <w:rFonts w:ascii="宋体" w:hAnsi="宋体" w:eastAsia="宋体"/>
          <w:bCs/>
          <w:sz w:val="28"/>
          <w:szCs w:val="28"/>
        </w:rPr>
      </w:pPr>
      <w:r>
        <w:rPr>
          <w:rFonts w:ascii="宋体" w:hAnsi="宋体" w:eastAsia="宋体"/>
          <w:bCs/>
          <w:sz w:val="28"/>
          <w:szCs w:val="28"/>
        </w:rPr>
        <w:t>稳妥推进住建领域国有企业公司制改革，有效化解了中房公司、住宅经营公司等历史遗留问题。</w:t>
      </w:r>
    </w:p>
    <w:p w14:paraId="0795ED05">
      <w:pPr>
        <w:spacing w:line="396" w:lineRule="auto"/>
        <w:ind w:firstLine="560"/>
        <w:rPr>
          <w:rFonts w:ascii="宋体" w:hAnsi="宋体" w:eastAsia="宋体" w:cs="仿宋"/>
          <w:sz w:val="28"/>
          <w:szCs w:val="28"/>
        </w:rPr>
      </w:pPr>
      <w:r>
        <w:rPr>
          <w:rFonts w:ascii="宋体" w:hAnsi="宋体" w:eastAsia="宋体"/>
          <w:sz w:val="28"/>
          <w:szCs w:val="28"/>
        </w:rPr>
        <w:t>（2）效益指标完成情况分析</w:t>
      </w:r>
    </w:p>
    <w:p w14:paraId="4234F1C1">
      <w:pPr>
        <w:spacing w:line="396" w:lineRule="auto"/>
        <w:ind w:firstLine="560"/>
        <w:rPr>
          <w:rFonts w:ascii="宋体" w:hAnsi="宋体" w:eastAsia="宋体"/>
          <w:bCs/>
          <w:sz w:val="28"/>
          <w:szCs w:val="28"/>
        </w:rPr>
      </w:pPr>
      <w:r>
        <w:rPr>
          <w:rFonts w:ascii="宋体" w:hAnsi="宋体" w:eastAsia="宋体"/>
          <w:bCs/>
          <w:sz w:val="28"/>
          <w:szCs w:val="28"/>
        </w:rPr>
        <w:fldChar w:fldCharType="begin"/>
      </w:r>
      <w:r>
        <w:rPr>
          <w:rFonts w:ascii="宋体" w:hAnsi="宋体" w:eastAsia="宋体"/>
          <w:bCs/>
          <w:sz w:val="28"/>
          <w:szCs w:val="28"/>
        </w:rPr>
        <w:instrText xml:space="preserve"> </w:instrText>
      </w:r>
      <w:r>
        <w:rPr>
          <w:rFonts w:hint="eastAsia" w:ascii="宋体" w:hAnsi="宋体" w:eastAsia="宋体"/>
          <w:bCs/>
          <w:sz w:val="28"/>
          <w:szCs w:val="28"/>
        </w:rPr>
        <w:instrText xml:space="preserve">= 1 \* GB3</w:instrText>
      </w:r>
      <w:r>
        <w:rPr>
          <w:rFonts w:ascii="宋体" w:hAnsi="宋体" w:eastAsia="宋体"/>
          <w:bCs/>
          <w:sz w:val="28"/>
          <w:szCs w:val="28"/>
        </w:rPr>
        <w:instrText xml:space="preserve"> </w:instrText>
      </w:r>
      <w:r>
        <w:rPr>
          <w:rFonts w:ascii="宋体" w:hAnsi="宋体" w:eastAsia="宋体"/>
          <w:bCs/>
          <w:sz w:val="28"/>
          <w:szCs w:val="28"/>
        </w:rPr>
        <w:fldChar w:fldCharType="separate"/>
      </w:r>
      <w:r>
        <w:rPr>
          <w:rFonts w:hint="eastAsia" w:ascii="宋体" w:hAnsi="宋体" w:eastAsia="宋体"/>
          <w:bCs/>
          <w:sz w:val="28"/>
          <w:szCs w:val="28"/>
        </w:rPr>
        <w:t>①</w:t>
      </w:r>
      <w:r>
        <w:rPr>
          <w:rFonts w:ascii="宋体" w:hAnsi="宋体" w:eastAsia="宋体"/>
          <w:bCs/>
          <w:sz w:val="28"/>
          <w:szCs w:val="28"/>
        </w:rPr>
        <w:fldChar w:fldCharType="end"/>
      </w:r>
      <w:r>
        <w:rPr>
          <w:rFonts w:hint="eastAsia" w:ascii="宋体" w:hAnsi="宋体" w:eastAsia="宋体"/>
          <w:sz w:val="28"/>
          <w:szCs w:val="28"/>
        </w:rPr>
        <w:t>启动了《随州市历史文化名城保护规划》编制，实施历史建筑挂牌保护30处；</w:t>
      </w:r>
      <w:r>
        <w:rPr>
          <w:rFonts w:ascii="宋体" w:hAnsi="宋体" w:eastAsia="宋体"/>
          <w:sz w:val="28"/>
          <w:szCs w:val="28"/>
        </w:rPr>
        <w:t>。</w:t>
      </w:r>
    </w:p>
    <w:p w14:paraId="2C7EAC41">
      <w:pPr>
        <w:spacing w:line="396" w:lineRule="auto"/>
        <w:ind w:firstLine="560"/>
        <w:rPr>
          <w:rFonts w:ascii="宋体" w:hAnsi="宋体" w:eastAsia="宋体"/>
          <w:bCs/>
          <w:sz w:val="28"/>
          <w:szCs w:val="28"/>
        </w:rPr>
      </w:pPr>
      <w:r>
        <w:rPr>
          <w:rFonts w:ascii="宋体" w:hAnsi="宋体" w:eastAsia="宋体"/>
          <w:sz w:val="28"/>
          <w:szCs w:val="28"/>
        </w:rPr>
        <w:fldChar w:fldCharType="begin"/>
      </w:r>
      <w:r>
        <w:rPr>
          <w:rFonts w:ascii="宋体" w:hAnsi="宋体" w:eastAsia="宋体"/>
          <w:sz w:val="28"/>
          <w:szCs w:val="28"/>
        </w:rPr>
        <w:instrText xml:space="preserve"> </w:instrText>
      </w:r>
      <w:r>
        <w:rPr>
          <w:rFonts w:hint="eastAsia" w:ascii="宋体" w:hAnsi="宋体" w:eastAsia="宋体"/>
          <w:sz w:val="28"/>
          <w:szCs w:val="28"/>
        </w:rPr>
        <w:instrText xml:space="preserve">= 2 \* GB3</w:instrText>
      </w:r>
      <w:r>
        <w:rPr>
          <w:rFonts w:ascii="宋体" w:hAnsi="宋体" w:eastAsia="宋体"/>
          <w:sz w:val="28"/>
          <w:szCs w:val="28"/>
        </w:rPr>
        <w:instrText xml:space="preserve"> </w:instrText>
      </w:r>
      <w:r>
        <w:rPr>
          <w:rFonts w:ascii="宋体" w:hAnsi="宋体" w:eastAsia="宋体"/>
          <w:sz w:val="28"/>
          <w:szCs w:val="28"/>
        </w:rPr>
        <w:fldChar w:fldCharType="separate"/>
      </w:r>
      <w:r>
        <w:rPr>
          <w:rFonts w:hint="eastAsia" w:ascii="宋体" w:hAnsi="宋体" w:eastAsia="宋体"/>
          <w:sz w:val="28"/>
          <w:szCs w:val="28"/>
        </w:rPr>
        <w:t>②</w:t>
      </w:r>
      <w:r>
        <w:rPr>
          <w:rFonts w:ascii="宋体" w:hAnsi="宋体" w:eastAsia="宋体"/>
          <w:sz w:val="28"/>
          <w:szCs w:val="28"/>
        </w:rPr>
        <w:fldChar w:fldCharType="end"/>
      </w:r>
      <w:r>
        <w:rPr>
          <w:rFonts w:ascii="宋体" w:hAnsi="宋体" w:eastAsia="宋体"/>
          <w:sz w:val="28"/>
          <w:szCs w:val="28"/>
        </w:rPr>
        <w:t>出台了《随州市城区既有住宅增设电梯管理实施办法》，投资50万元开发了加装电梯申报子系统，完成增设电梯133部，全年受理加装申请114部，有效解决了居民爬梯之痛。</w:t>
      </w:r>
    </w:p>
    <w:p w14:paraId="27B6A7A5">
      <w:pPr>
        <w:spacing w:line="396" w:lineRule="auto"/>
        <w:ind w:firstLine="560"/>
        <w:rPr>
          <w:rFonts w:ascii="宋体" w:hAnsi="宋体" w:eastAsia="宋体"/>
          <w:bCs/>
          <w:sz w:val="28"/>
          <w:szCs w:val="28"/>
          <w:lang w:val="zh-CN"/>
        </w:rPr>
      </w:pPr>
      <w:r>
        <w:rPr>
          <w:rFonts w:ascii="宋体" w:hAnsi="宋体" w:eastAsia="宋体"/>
          <w:bCs/>
          <w:sz w:val="28"/>
          <w:szCs w:val="28"/>
        </w:rPr>
        <w:fldChar w:fldCharType="begin"/>
      </w:r>
      <w:r>
        <w:rPr>
          <w:rFonts w:ascii="宋体" w:hAnsi="宋体" w:eastAsia="宋体"/>
          <w:bCs/>
          <w:sz w:val="28"/>
          <w:szCs w:val="28"/>
        </w:rPr>
        <w:instrText xml:space="preserve"> </w:instrText>
      </w:r>
      <w:r>
        <w:rPr>
          <w:rFonts w:hint="eastAsia" w:ascii="宋体" w:hAnsi="宋体" w:eastAsia="宋体"/>
          <w:bCs/>
          <w:sz w:val="28"/>
          <w:szCs w:val="28"/>
        </w:rPr>
        <w:instrText xml:space="preserve">= 3 \* GB3</w:instrText>
      </w:r>
      <w:r>
        <w:rPr>
          <w:rFonts w:ascii="宋体" w:hAnsi="宋体" w:eastAsia="宋体"/>
          <w:bCs/>
          <w:sz w:val="28"/>
          <w:szCs w:val="28"/>
        </w:rPr>
        <w:instrText xml:space="preserve"> </w:instrText>
      </w:r>
      <w:r>
        <w:rPr>
          <w:rFonts w:ascii="宋体" w:hAnsi="宋体" w:eastAsia="宋体"/>
          <w:bCs/>
          <w:sz w:val="28"/>
          <w:szCs w:val="28"/>
        </w:rPr>
        <w:fldChar w:fldCharType="separate"/>
      </w:r>
      <w:r>
        <w:rPr>
          <w:rFonts w:hint="eastAsia" w:ascii="宋体" w:hAnsi="宋体" w:eastAsia="宋体"/>
          <w:bCs/>
          <w:sz w:val="28"/>
          <w:szCs w:val="28"/>
        </w:rPr>
        <w:t>③</w:t>
      </w:r>
      <w:r>
        <w:rPr>
          <w:rFonts w:ascii="宋体" w:hAnsi="宋体" w:eastAsia="宋体"/>
          <w:bCs/>
          <w:sz w:val="28"/>
          <w:szCs w:val="28"/>
        </w:rPr>
        <w:fldChar w:fldCharType="end"/>
      </w:r>
      <w:r>
        <w:rPr>
          <w:rFonts w:hint="eastAsia" w:ascii="宋体" w:hAnsi="宋体" w:eastAsia="宋体"/>
          <w:bCs/>
          <w:sz w:val="28"/>
          <w:szCs w:val="28"/>
        </w:rPr>
        <w:t>加强城市污水处理厂运行监管，城区生活污水集中处理率达97.3%，顺利通过中央第二轮环保督察。加大工地扬尘治理力度，约谈责任单位及责任人20家80余人，发通报4期，严控施工扬尘，有力保障城市优良天气。</w:t>
      </w:r>
    </w:p>
    <w:p w14:paraId="60A7D33B">
      <w:pPr>
        <w:spacing w:line="396" w:lineRule="auto"/>
        <w:ind w:firstLine="560"/>
        <w:rPr>
          <w:rFonts w:ascii="宋体" w:hAnsi="宋体" w:eastAsia="宋体" w:cs="仿宋"/>
          <w:sz w:val="28"/>
          <w:szCs w:val="28"/>
        </w:rPr>
      </w:pPr>
      <w:r>
        <w:rPr>
          <w:rFonts w:ascii="宋体" w:hAnsi="宋体" w:eastAsia="宋体"/>
          <w:bCs/>
          <w:sz w:val="28"/>
          <w:szCs w:val="28"/>
          <w:lang w:val="zh-CN"/>
        </w:rPr>
        <w:fldChar w:fldCharType="begin"/>
      </w:r>
      <w:r>
        <w:rPr>
          <w:rFonts w:ascii="宋体" w:hAnsi="宋体" w:eastAsia="宋体"/>
          <w:bCs/>
          <w:sz w:val="28"/>
          <w:szCs w:val="28"/>
          <w:lang w:val="zh-CN"/>
        </w:rPr>
        <w:instrText xml:space="preserve"> </w:instrText>
      </w:r>
      <w:r>
        <w:rPr>
          <w:rFonts w:hint="eastAsia" w:ascii="宋体" w:hAnsi="宋体" w:eastAsia="宋体"/>
          <w:bCs/>
          <w:sz w:val="28"/>
          <w:szCs w:val="28"/>
          <w:lang w:val="zh-CN"/>
        </w:rPr>
        <w:instrText xml:space="preserve">= 4 \* GB3</w:instrText>
      </w:r>
      <w:r>
        <w:rPr>
          <w:rFonts w:ascii="宋体" w:hAnsi="宋体" w:eastAsia="宋体"/>
          <w:bCs/>
          <w:sz w:val="28"/>
          <w:szCs w:val="28"/>
          <w:lang w:val="zh-CN"/>
        </w:rPr>
        <w:instrText xml:space="preserve"> </w:instrText>
      </w:r>
      <w:r>
        <w:rPr>
          <w:rFonts w:ascii="宋体" w:hAnsi="宋体" w:eastAsia="宋体"/>
          <w:bCs/>
          <w:sz w:val="28"/>
          <w:szCs w:val="28"/>
          <w:lang w:val="zh-CN"/>
        </w:rPr>
        <w:fldChar w:fldCharType="separate"/>
      </w:r>
      <w:r>
        <w:rPr>
          <w:rFonts w:hint="eastAsia" w:ascii="宋体" w:hAnsi="宋体" w:eastAsia="宋体"/>
          <w:bCs/>
          <w:sz w:val="28"/>
          <w:szCs w:val="28"/>
          <w:lang w:val="zh-CN"/>
        </w:rPr>
        <w:t>④</w:t>
      </w:r>
      <w:r>
        <w:rPr>
          <w:rFonts w:ascii="宋体" w:hAnsi="宋体" w:eastAsia="宋体"/>
          <w:bCs/>
          <w:sz w:val="28"/>
          <w:szCs w:val="28"/>
          <w:lang w:val="zh-CN"/>
        </w:rPr>
        <w:fldChar w:fldCharType="end"/>
      </w:r>
      <w:r>
        <w:rPr>
          <w:rFonts w:hint="eastAsia" w:ascii="宋体" w:hAnsi="宋体" w:eastAsia="宋体"/>
          <w:bCs/>
          <w:sz w:val="28"/>
          <w:szCs w:val="28"/>
          <w:lang w:val="zh-CN"/>
        </w:rPr>
        <w:t>坚持“底线思维、红线意识”，严厉打击住建领域各类违法违规行为，立案查处违法违规项目13个，下达停工、整改通知书323余份，约谈项目负责人11人，起到了震慑效果。</w:t>
      </w:r>
    </w:p>
    <w:p w14:paraId="1DEA0753">
      <w:pPr>
        <w:spacing w:line="396" w:lineRule="auto"/>
        <w:ind w:firstLine="560"/>
        <w:rPr>
          <w:rFonts w:ascii="宋体" w:hAnsi="宋体" w:eastAsia="宋体"/>
          <w:bCs/>
          <w:sz w:val="28"/>
          <w:szCs w:val="28"/>
        </w:rPr>
      </w:pPr>
      <w:r>
        <w:rPr>
          <w:rFonts w:ascii="宋体" w:hAnsi="宋体" w:eastAsia="宋体"/>
          <w:bCs/>
          <w:sz w:val="28"/>
          <w:szCs w:val="28"/>
        </w:rPr>
        <w:fldChar w:fldCharType="begin"/>
      </w:r>
      <w:r>
        <w:rPr>
          <w:rFonts w:ascii="宋体" w:hAnsi="宋体" w:eastAsia="宋体"/>
          <w:bCs/>
          <w:sz w:val="28"/>
          <w:szCs w:val="28"/>
        </w:rPr>
        <w:instrText xml:space="preserve"> </w:instrText>
      </w:r>
      <w:r>
        <w:rPr>
          <w:rFonts w:hint="eastAsia" w:ascii="宋体" w:hAnsi="宋体" w:eastAsia="宋体"/>
          <w:bCs/>
          <w:sz w:val="28"/>
          <w:szCs w:val="28"/>
        </w:rPr>
        <w:instrText xml:space="preserve">= 5 \* GB3</w:instrText>
      </w:r>
      <w:r>
        <w:rPr>
          <w:rFonts w:ascii="宋体" w:hAnsi="宋体" w:eastAsia="宋体"/>
          <w:bCs/>
          <w:sz w:val="28"/>
          <w:szCs w:val="28"/>
        </w:rPr>
        <w:instrText xml:space="preserve"> </w:instrText>
      </w:r>
      <w:r>
        <w:rPr>
          <w:rFonts w:ascii="宋体" w:hAnsi="宋体" w:eastAsia="宋体"/>
          <w:bCs/>
          <w:sz w:val="28"/>
          <w:szCs w:val="28"/>
        </w:rPr>
        <w:fldChar w:fldCharType="separate"/>
      </w:r>
      <w:r>
        <w:rPr>
          <w:rFonts w:hint="eastAsia" w:ascii="宋体" w:hAnsi="宋体" w:eastAsia="宋体"/>
          <w:bCs/>
          <w:sz w:val="28"/>
          <w:szCs w:val="28"/>
        </w:rPr>
        <w:t>⑤</w:t>
      </w:r>
      <w:r>
        <w:rPr>
          <w:rFonts w:ascii="宋体" w:hAnsi="宋体" w:eastAsia="宋体"/>
          <w:bCs/>
          <w:sz w:val="28"/>
          <w:szCs w:val="28"/>
        </w:rPr>
        <w:fldChar w:fldCharType="end"/>
      </w:r>
      <w:r>
        <w:rPr>
          <w:rFonts w:hint="eastAsia" w:ascii="宋体" w:hAnsi="宋体" w:eastAsia="宋体"/>
          <w:bCs/>
          <w:sz w:val="28"/>
          <w:szCs w:val="28"/>
        </w:rPr>
        <w:t>持续推进工程审批制度改革，审批事项从改革前138项精简为56项，审批时限率先在全省压缩至 “70、50、30、20”，连续两年被省激励奖励，共获奖励资金150万元</w:t>
      </w:r>
      <w:r>
        <w:rPr>
          <w:rFonts w:ascii="宋体" w:hAnsi="宋体" w:eastAsia="宋体"/>
          <w:bCs/>
          <w:sz w:val="28"/>
          <w:szCs w:val="28"/>
          <w:lang w:val="zh-CN"/>
        </w:rPr>
        <w:t>。</w:t>
      </w:r>
    </w:p>
    <w:p w14:paraId="54CEA968">
      <w:pPr>
        <w:spacing w:line="396" w:lineRule="auto"/>
        <w:ind w:firstLine="560"/>
        <w:rPr>
          <w:rFonts w:ascii="宋体" w:hAnsi="宋体" w:eastAsia="宋体"/>
          <w:bCs/>
          <w:sz w:val="28"/>
          <w:szCs w:val="28"/>
        </w:rPr>
      </w:pPr>
      <w:r>
        <w:rPr>
          <w:rFonts w:hint="eastAsia" w:ascii="宋体" w:hAnsi="宋体" w:eastAsia="宋体"/>
          <w:bCs/>
          <w:sz w:val="28"/>
          <w:szCs w:val="28"/>
        </w:rPr>
        <w:t>（4）产生偏差的原因</w:t>
      </w:r>
    </w:p>
    <w:p w14:paraId="409B8B10">
      <w:pPr>
        <w:spacing w:line="396" w:lineRule="auto"/>
        <w:ind w:firstLine="560"/>
        <w:rPr>
          <w:rFonts w:ascii="宋体" w:hAnsi="宋体" w:eastAsia="宋体"/>
          <w:sz w:val="28"/>
          <w:szCs w:val="28"/>
        </w:rPr>
      </w:pPr>
      <w:r>
        <w:rPr>
          <w:rFonts w:ascii="宋体" w:hAnsi="宋体" w:eastAsia="宋体"/>
          <w:bCs/>
          <w:sz w:val="28"/>
          <w:szCs w:val="28"/>
        </w:rPr>
        <w:fldChar w:fldCharType="begin"/>
      </w:r>
      <w:r>
        <w:rPr>
          <w:rFonts w:ascii="宋体" w:hAnsi="宋体" w:eastAsia="宋体"/>
          <w:bCs/>
          <w:sz w:val="28"/>
          <w:szCs w:val="28"/>
        </w:rPr>
        <w:instrText xml:space="preserve"> </w:instrText>
      </w:r>
      <w:r>
        <w:rPr>
          <w:rFonts w:hint="eastAsia" w:ascii="宋体" w:hAnsi="宋体" w:eastAsia="宋体"/>
          <w:bCs/>
          <w:sz w:val="28"/>
          <w:szCs w:val="28"/>
        </w:rPr>
        <w:instrText xml:space="preserve">= 1 \* GB3</w:instrText>
      </w:r>
      <w:r>
        <w:rPr>
          <w:rFonts w:ascii="宋体" w:hAnsi="宋体" w:eastAsia="宋体"/>
          <w:bCs/>
          <w:sz w:val="28"/>
          <w:szCs w:val="28"/>
        </w:rPr>
        <w:instrText xml:space="preserve"> </w:instrText>
      </w:r>
      <w:r>
        <w:rPr>
          <w:rFonts w:ascii="宋体" w:hAnsi="宋体" w:eastAsia="宋体"/>
          <w:bCs/>
          <w:sz w:val="28"/>
          <w:szCs w:val="28"/>
        </w:rPr>
        <w:fldChar w:fldCharType="separate"/>
      </w:r>
      <w:r>
        <w:rPr>
          <w:rFonts w:hint="eastAsia" w:ascii="宋体" w:hAnsi="宋体" w:eastAsia="宋体"/>
          <w:bCs/>
          <w:sz w:val="28"/>
          <w:szCs w:val="28"/>
        </w:rPr>
        <w:t>①</w:t>
      </w:r>
      <w:r>
        <w:rPr>
          <w:rFonts w:ascii="宋体" w:hAnsi="宋体" w:eastAsia="宋体"/>
          <w:bCs/>
          <w:sz w:val="28"/>
          <w:szCs w:val="28"/>
        </w:rPr>
        <w:fldChar w:fldCharType="end"/>
      </w:r>
      <w:r>
        <w:rPr>
          <w:rFonts w:hint="eastAsia" w:ascii="宋体" w:hAnsi="宋体" w:eastAsia="宋体"/>
          <w:bCs/>
          <w:sz w:val="28"/>
          <w:szCs w:val="28"/>
        </w:rPr>
        <w:t>城市重点工程项目存在涉及单位多、建设周期长、融资难、征收成本高等现实，加之协调联动机制尚未完全建立，导致重点项目统筹协调难度大、推进较慢。</w:t>
      </w:r>
    </w:p>
    <w:p w14:paraId="52C040E3">
      <w:pPr>
        <w:spacing w:line="396" w:lineRule="auto"/>
        <w:ind w:firstLine="560"/>
        <w:rPr>
          <w:rFonts w:ascii="宋体" w:hAnsi="宋体" w:eastAsia="宋体"/>
          <w:bCs/>
          <w:sz w:val="28"/>
          <w:szCs w:val="28"/>
        </w:rPr>
      </w:pPr>
      <w:r>
        <w:rPr>
          <w:rFonts w:ascii="宋体" w:hAnsi="宋体" w:eastAsia="宋体"/>
          <w:bCs/>
          <w:sz w:val="28"/>
          <w:szCs w:val="28"/>
        </w:rPr>
        <w:fldChar w:fldCharType="begin"/>
      </w:r>
      <w:r>
        <w:rPr>
          <w:rFonts w:ascii="宋体" w:hAnsi="宋体" w:eastAsia="宋体"/>
          <w:bCs/>
          <w:sz w:val="28"/>
          <w:szCs w:val="28"/>
        </w:rPr>
        <w:instrText xml:space="preserve"> </w:instrText>
      </w:r>
      <w:r>
        <w:rPr>
          <w:rFonts w:hint="eastAsia" w:ascii="宋体" w:hAnsi="宋体" w:eastAsia="宋体"/>
          <w:bCs/>
          <w:sz w:val="28"/>
          <w:szCs w:val="28"/>
        </w:rPr>
        <w:instrText xml:space="preserve">= 2 \* GB3</w:instrText>
      </w:r>
      <w:r>
        <w:rPr>
          <w:rFonts w:ascii="宋体" w:hAnsi="宋体" w:eastAsia="宋体"/>
          <w:bCs/>
          <w:sz w:val="28"/>
          <w:szCs w:val="28"/>
        </w:rPr>
        <w:instrText xml:space="preserve"> </w:instrText>
      </w:r>
      <w:r>
        <w:rPr>
          <w:rFonts w:ascii="宋体" w:hAnsi="宋体" w:eastAsia="宋体"/>
          <w:bCs/>
          <w:sz w:val="28"/>
          <w:szCs w:val="28"/>
        </w:rPr>
        <w:fldChar w:fldCharType="separate"/>
      </w:r>
      <w:r>
        <w:rPr>
          <w:rFonts w:hint="eastAsia" w:ascii="宋体" w:hAnsi="宋体" w:eastAsia="宋体"/>
          <w:bCs/>
          <w:sz w:val="28"/>
          <w:szCs w:val="28"/>
        </w:rPr>
        <w:t>②</w:t>
      </w:r>
      <w:r>
        <w:rPr>
          <w:rFonts w:ascii="宋体" w:hAnsi="宋体" w:eastAsia="宋体"/>
          <w:bCs/>
          <w:sz w:val="28"/>
          <w:szCs w:val="28"/>
        </w:rPr>
        <w:fldChar w:fldCharType="end"/>
      </w:r>
      <w:r>
        <w:rPr>
          <w:rFonts w:hint="eastAsia" w:ascii="宋体" w:hAnsi="宋体" w:eastAsia="宋体"/>
          <w:bCs/>
          <w:sz w:val="28"/>
          <w:szCs w:val="28"/>
        </w:rPr>
        <w:t>少数企业安全主体责任落实不到位，从业人员违章作业、冒险作业等现象时有发生，安全生产形势不容乐观；恒大等房地产项目风险防范化解以及相关改革问题处置难度大、化解时间长，信访维稳压力持续上升。</w:t>
      </w:r>
    </w:p>
    <w:p w14:paraId="18287387">
      <w:pPr>
        <w:spacing w:line="396" w:lineRule="auto"/>
        <w:ind w:firstLine="560"/>
        <w:rPr>
          <w:rFonts w:ascii="宋体" w:hAnsi="宋体" w:eastAsia="宋体"/>
          <w:bCs/>
          <w:sz w:val="28"/>
          <w:szCs w:val="28"/>
        </w:rPr>
      </w:pPr>
      <w:r>
        <w:rPr>
          <w:rFonts w:ascii="宋体" w:hAnsi="宋体" w:eastAsia="宋体"/>
          <w:bCs/>
          <w:sz w:val="28"/>
          <w:szCs w:val="28"/>
        </w:rPr>
        <w:fldChar w:fldCharType="begin"/>
      </w:r>
      <w:r>
        <w:rPr>
          <w:rFonts w:ascii="宋体" w:hAnsi="宋体" w:eastAsia="宋体"/>
          <w:bCs/>
          <w:sz w:val="28"/>
          <w:szCs w:val="28"/>
        </w:rPr>
        <w:instrText xml:space="preserve"> </w:instrText>
      </w:r>
      <w:r>
        <w:rPr>
          <w:rFonts w:hint="eastAsia" w:ascii="宋体" w:hAnsi="宋体" w:eastAsia="宋体"/>
          <w:bCs/>
          <w:sz w:val="28"/>
          <w:szCs w:val="28"/>
        </w:rPr>
        <w:instrText xml:space="preserve">= 3 \* GB3</w:instrText>
      </w:r>
      <w:r>
        <w:rPr>
          <w:rFonts w:ascii="宋体" w:hAnsi="宋体" w:eastAsia="宋体"/>
          <w:bCs/>
          <w:sz w:val="28"/>
          <w:szCs w:val="28"/>
        </w:rPr>
        <w:instrText xml:space="preserve"> </w:instrText>
      </w:r>
      <w:r>
        <w:rPr>
          <w:rFonts w:ascii="宋体" w:hAnsi="宋体" w:eastAsia="宋体"/>
          <w:bCs/>
          <w:sz w:val="28"/>
          <w:szCs w:val="28"/>
        </w:rPr>
        <w:fldChar w:fldCharType="separate"/>
      </w:r>
      <w:r>
        <w:rPr>
          <w:rFonts w:hint="eastAsia" w:ascii="宋体" w:hAnsi="宋体" w:eastAsia="宋体"/>
          <w:bCs/>
          <w:sz w:val="28"/>
          <w:szCs w:val="28"/>
        </w:rPr>
        <w:t>③</w:t>
      </w:r>
      <w:r>
        <w:rPr>
          <w:rFonts w:ascii="宋体" w:hAnsi="宋体" w:eastAsia="宋体"/>
          <w:bCs/>
          <w:sz w:val="28"/>
          <w:szCs w:val="28"/>
        </w:rPr>
        <w:fldChar w:fldCharType="end"/>
      </w:r>
      <w:r>
        <w:rPr>
          <w:rFonts w:hint="eastAsia" w:ascii="宋体" w:hAnsi="宋体" w:eastAsia="宋体"/>
          <w:sz w:val="28"/>
          <w:szCs w:val="28"/>
        </w:rPr>
        <w:t>受国家宏观调控政策影响，部分房企面临严峻资金和销售压力，甚至出现烂尾风险；面临房地产开发项目减少、政府投资公共项目中标率低、重点骨干企业经营陷入困境等多重不利因素，建筑业转型升级受阻。</w:t>
      </w:r>
    </w:p>
    <w:p w14:paraId="3A24D075">
      <w:pPr>
        <w:spacing w:line="396" w:lineRule="auto"/>
        <w:ind w:firstLine="560"/>
        <w:rPr>
          <w:rFonts w:ascii="宋体" w:hAnsi="宋体" w:eastAsia="宋体"/>
          <w:bCs/>
          <w:sz w:val="28"/>
          <w:szCs w:val="28"/>
        </w:rPr>
      </w:pPr>
      <w:r>
        <w:rPr>
          <w:rFonts w:ascii="宋体" w:hAnsi="宋体" w:eastAsia="宋体"/>
          <w:bCs/>
          <w:sz w:val="28"/>
          <w:szCs w:val="28"/>
        </w:rPr>
        <w:fldChar w:fldCharType="begin"/>
      </w:r>
      <w:r>
        <w:rPr>
          <w:rFonts w:ascii="宋体" w:hAnsi="宋体" w:eastAsia="宋体"/>
          <w:bCs/>
          <w:sz w:val="28"/>
          <w:szCs w:val="28"/>
        </w:rPr>
        <w:instrText xml:space="preserve"> </w:instrText>
      </w:r>
      <w:r>
        <w:rPr>
          <w:rFonts w:hint="eastAsia" w:ascii="宋体" w:hAnsi="宋体" w:eastAsia="宋体"/>
          <w:bCs/>
          <w:sz w:val="28"/>
          <w:szCs w:val="28"/>
        </w:rPr>
        <w:instrText xml:space="preserve">= 4 \* GB3</w:instrText>
      </w:r>
      <w:r>
        <w:rPr>
          <w:rFonts w:ascii="宋体" w:hAnsi="宋体" w:eastAsia="宋体"/>
          <w:bCs/>
          <w:sz w:val="28"/>
          <w:szCs w:val="28"/>
        </w:rPr>
        <w:instrText xml:space="preserve"> </w:instrText>
      </w:r>
      <w:r>
        <w:rPr>
          <w:rFonts w:ascii="宋体" w:hAnsi="宋体" w:eastAsia="宋体"/>
          <w:bCs/>
          <w:sz w:val="28"/>
          <w:szCs w:val="28"/>
        </w:rPr>
        <w:fldChar w:fldCharType="separate"/>
      </w:r>
      <w:r>
        <w:rPr>
          <w:rFonts w:hint="eastAsia" w:ascii="宋体" w:hAnsi="宋体" w:eastAsia="宋体"/>
          <w:bCs/>
          <w:sz w:val="28"/>
          <w:szCs w:val="28"/>
        </w:rPr>
        <w:t>④</w:t>
      </w:r>
      <w:r>
        <w:rPr>
          <w:rFonts w:ascii="宋体" w:hAnsi="宋体" w:eastAsia="宋体"/>
          <w:bCs/>
          <w:sz w:val="28"/>
          <w:szCs w:val="28"/>
        </w:rPr>
        <w:fldChar w:fldCharType="end"/>
      </w:r>
      <w:r>
        <w:rPr>
          <w:rFonts w:hint="eastAsia" w:ascii="宋体" w:hAnsi="宋体" w:eastAsia="宋体"/>
          <w:bCs/>
          <w:sz w:val="28"/>
          <w:szCs w:val="28"/>
        </w:rPr>
        <w:t>市政、设计、消防等专业技术领军人才缺乏，亟需引进一批领军人才。</w:t>
      </w:r>
    </w:p>
    <w:p w14:paraId="7075E781">
      <w:pPr>
        <w:spacing w:line="396" w:lineRule="auto"/>
        <w:ind w:firstLine="560"/>
        <w:rPr>
          <w:rFonts w:ascii="宋体" w:hAnsi="宋体" w:eastAsia="宋体"/>
          <w:bCs/>
          <w:sz w:val="28"/>
          <w:szCs w:val="28"/>
        </w:rPr>
      </w:pPr>
      <w:r>
        <w:rPr>
          <w:rFonts w:ascii="宋体" w:hAnsi="宋体" w:eastAsia="宋体"/>
          <w:bCs/>
          <w:sz w:val="28"/>
          <w:szCs w:val="28"/>
        </w:rPr>
        <w:fldChar w:fldCharType="begin"/>
      </w:r>
      <w:r>
        <w:rPr>
          <w:rFonts w:ascii="宋体" w:hAnsi="宋体" w:eastAsia="宋体"/>
          <w:bCs/>
          <w:sz w:val="28"/>
          <w:szCs w:val="28"/>
        </w:rPr>
        <w:instrText xml:space="preserve"> </w:instrText>
      </w:r>
      <w:r>
        <w:rPr>
          <w:rFonts w:hint="eastAsia" w:ascii="宋体" w:hAnsi="宋体" w:eastAsia="宋体"/>
          <w:bCs/>
          <w:sz w:val="28"/>
          <w:szCs w:val="28"/>
        </w:rPr>
        <w:instrText xml:space="preserve">= 5 \* GB3</w:instrText>
      </w:r>
      <w:r>
        <w:rPr>
          <w:rFonts w:ascii="宋体" w:hAnsi="宋体" w:eastAsia="宋体"/>
          <w:bCs/>
          <w:sz w:val="28"/>
          <w:szCs w:val="28"/>
        </w:rPr>
        <w:instrText xml:space="preserve"> </w:instrText>
      </w:r>
      <w:r>
        <w:rPr>
          <w:rFonts w:ascii="宋体" w:hAnsi="宋体" w:eastAsia="宋体"/>
          <w:bCs/>
          <w:sz w:val="28"/>
          <w:szCs w:val="28"/>
        </w:rPr>
        <w:fldChar w:fldCharType="separate"/>
      </w:r>
      <w:r>
        <w:rPr>
          <w:rFonts w:hint="eastAsia" w:ascii="宋体" w:hAnsi="宋体" w:eastAsia="宋体"/>
          <w:bCs/>
          <w:sz w:val="28"/>
          <w:szCs w:val="28"/>
        </w:rPr>
        <w:t>⑤</w:t>
      </w:r>
      <w:r>
        <w:rPr>
          <w:rFonts w:ascii="宋体" w:hAnsi="宋体" w:eastAsia="宋体"/>
          <w:bCs/>
          <w:sz w:val="28"/>
          <w:szCs w:val="28"/>
        </w:rPr>
        <w:fldChar w:fldCharType="end"/>
      </w:r>
      <w:r>
        <w:rPr>
          <w:rFonts w:ascii="宋体" w:hAnsi="宋体" w:eastAsia="宋体"/>
          <w:bCs/>
          <w:sz w:val="28"/>
          <w:szCs w:val="28"/>
        </w:rPr>
        <w:t>少数干部思想解放不够，对城市发展新理念、新要求掌握不够，城乡建设视野不够开阔；创新性不强，缺思路、缺方法；办事拖拉，不善担当、不愿担当。</w:t>
      </w:r>
    </w:p>
    <w:p w14:paraId="5BAB4D25">
      <w:pPr>
        <w:spacing w:line="396" w:lineRule="auto"/>
        <w:ind w:firstLine="562"/>
        <w:rPr>
          <w:rFonts w:ascii="宋体" w:hAnsi="宋体" w:eastAsia="宋体"/>
          <w:b/>
          <w:sz w:val="28"/>
          <w:szCs w:val="28"/>
        </w:rPr>
      </w:pPr>
      <w:r>
        <w:rPr>
          <w:rFonts w:ascii="宋体" w:hAnsi="宋体" w:eastAsia="宋体"/>
          <w:b/>
          <w:sz w:val="28"/>
          <w:szCs w:val="28"/>
        </w:rPr>
        <w:t>（四）上年度部门整体</w:t>
      </w:r>
      <w:r>
        <w:rPr>
          <w:rFonts w:hint="eastAsia" w:ascii="宋体" w:hAnsi="宋体" w:eastAsia="宋体"/>
          <w:b/>
          <w:sz w:val="28"/>
          <w:szCs w:val="28"/>
        </w:rPr>
        <w:t>绩效</w:t>
      </w:r>
      <w:r>
        <w:rPr>
          <w:rFonts w:ascii="宋体" w:hAnsi="宋体" w:eastAsia="宋体"/>
          <w:b/>
          <w:sz w:val="28"/>
          <w:szCs w:val="28"/>
        </w:rPr>
        <w:t>自评结果应用情况</w:t>
      </w:r>
    </w:p>
    <w:p w14:paraId="23A9898C">
      <w:pPr>
        <w:tabs>
          <w:tab w:val="center" w:pos="4153"/>
        </w:tabs>
        <w:spacing w:line="396" w:lineRule="auto"/>
        <w:ind w:firstLine="560"/>
        <w:rPr>
          <w:rFonts w:ascii="宋体" w:hAnsi="宋体" w:eastAsia="宋体"/>
          <w:sz w:val="28"/>
          <w:szCs w:val="28"/>
        </w:rPr>
      </w:pPr>
      <w:r>
        <w:rPr>
          <w:rFonts w:hint="eastAsia" w:ascii="宋体" w:hAnsi="宋体" w:eastAsia="宋体"/>
          <w:sz w:val="28"/>
          <w:szCs w:val="28"/>
        </w:rPr>
        <w:t>随州市住房和城乡建设局2020年度终结后及时予以分析总结，但填报部门整体绩效目标申报表的内容不够具体完善，今后按要求予以完善，根据工作实际需要，设计建立适用的、合理的绩效指标和绩效评价指标体系，实现绩效管理的规范化、常态化。</w:t>
      </w:r>
    </w:p>
    <w:p w14:paraId="4F26A60F">
      <w:pPr>
        <w:spacing w:line="396" w:lineRule="auto"/>
        <w:ind w:firstLine="560"/>
        <w:rPr>
          <w:rFonts w:ascii="宋体" w:hAnsi="宋体" w:eastAsia="宋体"/>
          <w:sz w:val="28"/>
          <w:szCs w:val="28"/>
        </w:rPr>
      </w:pPr>
      <w:r>
        <w:rPr>
          <w:rFonts w:hint="eastAsia" w:ascii="宋体" w:hAnsi="宋体" w:eastAsia="宋体"/>
          <w:sz w:val="28"/>
          <w:szCs w:val="28"/>
        </w:rPr>
        <w:t>2021年我单位及时完成了绩效结果报告。</w:t>
      </w:r>
    </w:p>
    <w:p w14:paraId="6E82C07C">
      <w:pPr>
        <w:tabs>
          <w:tab w:val="center" w:pos="4153"/>
        </w:tabs>
        <w:spacing w:line="396" w:lineRule="auto"/>
        <w:ind w:firstLine="562"/>
        <w:rPr>
          <w:rFonts w:ascii="宋体" w:hAnsi="宋体" w:eastAsia="宋体" w:cs="楷体"/>
          <w:b/>
          <w:sz w:val="28"/>
          <w:szCs w:val="28"/>
        </w:rPr>
      </w:pPr>
      <w:r>
        <w:rPr>
          <w:rFonts w:hint="eastAsia" w:ascii="宋体" w:hAnsi="宋体" w:eastAsia="宋体" w:cs="楷体"/>
          <w:b/>
          <w:sz w:val="28"/>
          <w:szCs w:val="28"/>
        </w:rPr>
        <w:t>（五）下一步改进措施</w:t>
      </w:r>
    </w:p>
    <w:p w14:paraId="3C84AFB7">
      <w:pPr>
        <w:tabs>
          <w:tab w:val="center" w:pos="4153"/>
        </w:tabs>
        <w:spacing w:line="396" w:lineRule="auto"/>
        <w:ind w:firstLine="560"/>
        <w:rPr>
          <w:rFonts w:ascii="宋体" w:hAnsi="宋体" w:eastAsia="宋体" w:cs="仿宋"/>
          <w:sz w:val="28"/>
          <w:szCs w:val="28"/>
        </w:rPr>
      </w:pPr>
      <w:r>
        <w:rPr>
          <w:rFonts w:hint="eastAsia" w:ascii="宋体" w:hAnsi="宋体" w:eastAsia="宋体" w:cs="仿宋"/>
          <w:sz w:val="28"/>
          <w:szCs w:val="28"/>
        </w:rPr>
        <w:t>1、细化预算编制工作。认真做好预算的编制，严格按照预算编制的相关制度和要求进行预算编制，进一步提高预算编制的科学性、严谨性和可控性。加强预算编制的前瞻性，建议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避免因预算经费不足导致超预算支出。</w:t>
      </w:r>
    </w:p>
    <w:p w14:paraId="712588A0">
      <w:pPr>
        <w:tabs>
          <w:tab w:val="center" w:pos="4153"/>
        </w:tabs>
        <w:spacing w:line="396" w:lineRule="auto"/>
        <w:ind w:firstLine="560"/>
        <w:rPr>
          <w:rFonts w:ascii="宋体" w:hAnsi="宋体" w:eastAsia="宋体" w:cs="仿宋"/>
          <w:sz w:val="28"/>
          <w:szCs w:val="28"/>
        </w:rPr>
      </w:pPr>
      <w:r>
        <w:rPr>
          <w:rFonts w:hint="eastAsia" w:ascii="宋体" w:hAnsi="宋体" w:eastAsia="宋体" w:cs="楷体"/>
          <w:sz w:val="28"/>
          <w:szCs w:val="28"/>
        </w:rPr>
        <w:t>2、拟与预算安排相结合情况。</w:t>
      </w:r>
      <w:r>
        <w:rPr>
          <w:rFonts w:hint="eastAsia" w:ascii="宋体" w:hAnsi="宋体" w:eastAsia="宋体" w:cs="仿宋"/>
          <w:sz w:val="28"/>
          <w:szCs w:val="28"/>
        </w:rPr>
        <w:t>绩效评价结果与预算安排有机结合，将评价结果作为安排下年度预算的重要依据，根据当年预算执行情况和支出的差异，合理、精准地编制下年度预算。</w:t>
      </w:r>
    </w:p>
    <w:sectPr>
      <w:headerReference r:id="rId3" w:type="default"/>
      <w:footerReference r:id="rId4" w:type="default"/>
      <w:pgSz w:w="11906" w:h="16838" w:orient="landscape"/>
      <w:pgMar w:top="1440" w:right="1800" w:bottom="1440" w:left="1800" w:header="851" w:footer="992" w:gutter="0"/>
      <w:pgNumType w:start="0"/>
      <w:cols w:space="425"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B4BA1">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409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7EADA1FC">
                          <w:pPr>
                            <w:pStyle w:val="2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409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ec8PsoBAACyAwAADgAAAAAAAAABACAAAAAeAQAAZHJzL2Uyb0Rv&#10;Yy54bWxQSwUGAAAAAAYABgBZAQAAWgUAAAAA&#10;">
              <v:fill on="f" focussize="0,0"/>
              <v:stroke on="f" joinstyle="miter"/>
              <v:imagedata o:title=""/>
              <o:lock v:ext="edit" aspectratio="f"/>
              <v:textbox inset="0mm,0mm,0mm,0mm" style="mso-fit-shape-to-text:t;">
                <w:txbxContent>
                  <w:p w14:paraId="7EADA1FC">
                    <w:pPr>
                      <w:pStyle w:val="20"/>
                    </w:pPr>
                    <w:r>
                      <w:fldChar w:fldCharType="begin"/>
                    </w:r>
                    <w:r>
                      <w:instrText xml:space="preserve"> PAGE  \* MERGEFORMAT </w:instrText>
                    </w:r>
                    <w:r>
                      <w:fldChar w:fldCharType="separate"/>
                    </w:r>
                    <w:r>
                      <w:t>1</w:t>
                    </w:r>
                    <w:r>
                      <w:fldChar w:fldCharType="end"/>
                    </w:r>
                  </w:p>
                </w:txbxContent>
              </v:textbox>
            </v:shape>
          </w:pict>
        </mc:Fallback>
      </mc:AlternateContent>
    </w:r>
    <w:sdt>
      <w:sdtPr>
        <w:id w:val="1588494642"/>
        <w:showingPlcHdr/>
      </w:sdtPr>
      <w:sdtContent>
        <w:r>
          <w:t>    </w:t>
        </w:r>
      </w:sdtContent>
    </w:sdt>
  </w:p>
  <w:p w14:paraId="27DA3728">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3D525">
    <w:pPr>
      <w:pStyle w:val="21"/>
    </w:pPr>
  </w:p>
  <w:p w14:paraId="0EDE87C4">
    <w:pPr>
      <w:pStyle w:val="21"/>
      <w:jc w:val="both"/>
    </w:pPr>
    <w:r>
      <w:rPr>
        <w:rFonts w:hint="eastAsia"/>
      </w:rPr>
      <w:t>随州市住房和城乡建设局2</w:t>
    </w:r>
    <w:r>
      <w:t>02</w:t>
    </w:r>
    <w:r>
      <w:rPr>
        <w:rFonts w:hint="eastAsia"/>
      </w:rPr>
      <w:t>1年部门整体支出绩效自评报告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952B3"/>
    <w:rsid w:val="551E5284"/>
    <w:rsid w:val="59350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仿宋_GB2312" w:cs="Times New Roman"/>
      <w:sz w:val="32"/>
      <w:szCs w:val="24"/>
      <w:lang w:val="en-US" w:eastAsia="zh-CN" w:bidi="ar-SA"/>
    </w:rPr>
  </w:style>
  <w:style w:type="paragraph" w:styleId="2">
    <w:name w:val="heading 1"/>
    <w:basedOn w:val="1"/>
    <w:next w:val="1"/>
    <w:link w:val="38"/>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9"/>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40"/>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41"/>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2"/>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3"/>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4"/>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5"/>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6"/>
    <w:unhideWhenUsed/>
    <w:qFormat/>
    <w:uiPriority w:val="9"/>
    <w:pPr>
      <w:keepNext/>
      <w:keepLines/>
      <w:spacing w:before="320" w:after="200"/>
      <w:outlineLvl w:val="8"/>
    </w:pPr>
    <w:rPr>
      <w:rFonts w:ascii="等线" w:hAnsi="等线" w:eastAsia="等线" w:cs="等线"/>
      <w:i/>
      <w:iCs/>
      <w:sz w:val="21"/>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472C4" w:themeColor="accent1"/>
      <w:sz w:val="18"/>
      <w:szCs w:val="18"/>
    </w:rPr>
  </w:style>
  <w:style w:type="paragraph" w:styleId="13">
    <w:name w:val="Body Text Indent"/>
    <w:basedOn w:val="1"/>
    <w:link w:val="191"/>
    <w:semiHidden/>
    <w:unhideWhenUsed/>
    <w:qFormat/>
    <w:uiPriority w:val="99"/>
    <w:pPr>
      <w:spacing w:after="120"/>
      <w:ind w:left="420"/>
    </w:pPr>
  </w:style>
  <w:style w:type="paragraph" w:styleId="14">
    <w:name w:val="toc 5"/>
    <w:basedOn w:val="1"/>
    <w:next w:val="1"/>
    <w:unhideWhenUsed/>
    <w:uiPriority w:val="39"/>
    <w:pPr>
      <w:spacing w:after="57"/>
      <w:ind w:left="1134" w:right="0" w:firstLine="0"/>
    </w:pPr>
  </w:style>
  <w:style w:type="paragraph" w:styleId="15">
    <w:name w:val="toc 3"/>
    <w:basedOn w:val="1"/>
    <w:next w:val="1"/>
    <w:unhideWhenUsed/>
    <w:uiPriority w:val="39"/>
    <w:pPr>
      <w:spacing w:after="57"/>
      <w:ind w:left="567" w:right="0" w:firstLine="0"/>
    </w:pPr>
  </w:style>
  <w:style w:type="paragraph" w:styleId="16">
    <w:name w:val="toc 8"/>
    <w:basedOn w:val="1"/>
    <w:next w:val="1"/>
    <w:unhideWhenUsed/>
    <w:uiPriority w:val="39"/>
    <w:pPr>
      <w:spacing w:after="57"/>
      <w:ind w:left="1984" w:right="0" w:firstLine="0"/>
    </w:pPr>
  </w:style>
  <w:style w:type="paragraph" w:styleId="17">
    <w:name w:val="Date"/>
    <w:basedOn w:val="1"/>
    <w:next w:val="1"/>
    <w:link w:val="188"/>
    <w:semiHidden/>
    <w:unhideWhenUsed/>
    <w:qFormat/>
    <w:uiPriority w:val="99"/>
    <w:pPr>
      <w:ind w:left="100"/>
    </w:pPr>
  </w:style>
  <w:style w:type="paragraph" w:styleId="18">
    <w:name w:val="endnote text"/>
    <w:basedOn w:val="1"/>
    <w:link w:val="184"/>
    <w:semiHidden/>
    <w:unhideWhenUsed/>
    <w:uiPriority w:val="99"/>
    <w:pPr>
      <w:spacing w:after="0" w:line="240" w:lineRule="auto"/>
    </w:pPr>
    <w:rPr>
      <w:sz w:val="20"/>
    </w:rPr>
  </w:style>
  <w:style w:type="paragraph" w:styleId="19">
    <w:name w:val="Balloon Text"/>
    <w:basedOn w:val="1"/>
    <w:link w:val="190"/>
    <w:semiHidden/>
    <w:unhideWhenUsed/>
    <w:qFormat/>
    <w:uiPriority w:val="99"/>
    <w:rPr>
      <w:sz w:val="18"/>
      <w:szCs w:val="18"/>
    </w:rPr>
  </w:style>
  <w:style w:type="paragraph" w:styleId="20">
    <w:name w:val="footer"/>
    <w:basedOn w:val="1"/>
    <w:link w:val="187"/>
    <w:unhideWhenUsed/>
    <w:qFormat/>
    <w:uiPriority w:val="99"/>
    <w:pPr>
      <w:tabs>
        <w:tab w:val="center" w:pos="4153"/>
        <w:tab w:val="right" w:pos="8306"/>
      </w:tabs>
      <w:jc w:val="left"/>
    </w:pPr>
    <w:rPr>
      <w:rFonts w:asciiTheme="minorHAnsi" w:hAnsiTheme="minorHAnsi" w:eastAsiaTheme="minorEastAsia" w:cstheme="minorBidi"/>
      <w:sz w:val="18"/>
      <w:szCs w:val="18"/>
    </w:rPr>
  </w:style>
  <w:style w:type="paragraph" w:styleId="21">
    <w:name w:val="header"/>
    <w:basedOn w:val="1"/>
    <w:link w:val="186"/>
    <w:unhideWhenUsed/>
    <w:qFormat/>
    <w:uiPriority w:val="99"/>
    <w:pPr>
      <w:pBdr>
        <w:bottom w:val="single" w:color="000000" w:sz="6" w:space="1"/>
      </w:pBdr>
      <w:tabs>
        <w:tab w:val="center" w:pos="4153"/>
        <w:tab w:val="right" w:pos="8306"/>
      </w:tabs>
      <w:jc w:val="center"/>
    </w:pPr>
    <w:rPr>
      <w:rFonts w:asciiTheme="minorHAnsi" w:hAnsiTheme="minorHAnsi" w:eastAsiaTheme="minorEastAsia" w:cstheme="minorBidi"/>
      <w:sz w:val="18"/>
      <w:szCs w:val="18"/>
    </w:rPr>
  </w:style>
  <w:style w:type="paragraph" w:styleId="22">
    <w:name w:val="toc 1"/>
    <w:basedOn w:val="1"/>
    <w:next w:val="1"/>
    <w:unhideWhenUsed/>
    <w:uiPriority w:val="39"/>
    <w:pPr>
      <w:spacing w:after="57"/>
      <w:ind w:left="0" w:right="0" w:firstLine="0"/>
    </w:pPr>
  </w:style>
  <w:style w:type="paragraph" w:styleId="23">
    <w:name w:val="toc 4"/>
    <w:basedOn w:val="1"/>
    <w:next w:val="1"/>
    <w:unhideWhenUsed/>
    <w:uiPriority w:val="39"/>
    <w:pPr>
      <w:spacing w:after="57"/>
      <w:ind w:left="850" w:right="0" w:firstLine="0"/>
    </w:pPr>
  </w:style>
  <w:style w:type="paragraph" w:styleId="24">
    <w:name w:val="Subtitle"/>
    <w:basedOn w:val="1"/>
    <w:next w:val="1"/>
    <w:link w:val="50"/>
    <w:qFormat/>
    <w:uiPriority w:val="11"/>
    <w:pPr>
      <w:spacing w:before="200" w:after="200"/>
    </w:pPr>
    <w:rPr>
      <w:sz w:val="24"/>
      <w:szCs w:val="24"/>
    </w:rPr>
  </w:style>
  <w:style w:type="paragraph" w:styleId="25">
    <w:name w:val="footnote text"/>
    <w:basedOn w:val="1"/>
    <w:link w:val="183"/>
    <w:semiHidden/>
    <w:unhideWhenUsed/>
    <w:uiPriority w:val="99"/>
    <w:pPr>
      <w:spacing w:after="40" w:line="240" w:lineRule="auto"/>
    </w:pPr>
    <w:rPr>
      <w:sz w:val="18"/>
    </w:rPr>
  </w:style>
  <w:style w:type="paragraph" w:styleId="26">
    <w:name w:val="toc 6"/>
    <w:basedOn w:val="1"/>
    <w:next w:val="1"/>
    <w:unhideWhenUsed/>
    <w:uiPriority w:val="39"/>
    <w:pPr>
      <w:spacing w:after="57"/>
      <w:ind w:left="1417" w:right="0" w:firstLine="0"/>
    </w:pPr>
  </w:style>
  <w:style w:type="paragraph" w:styleId="27">
    <w:name w:val="table of figures"/>
    <w:basedOn w:val="1"/>
    <w:next w:val="1"/>
    <w:unhideWhenUsed/>
    <w:uiPriority w:val="99"/>
    <w:pPr>
      <w:spacing w:after="0" w:afterAutospacing="0"/>
    </w:pPr>
  </w:style>
  <w:style w:type="paragraph" w:styleId="28">
    <w:name w:val="toc 2"/>
    <w:basedOn w:val="1"/>
    <w:next w:val="1"/>
    <w:unhideWhenUsed/>
    <w:uiPriority w:val="39"/>
    <w:pPr>
      <w:spacing w:after="57"/>
      <w:ind w:left="283" w:right="0" w:firstLine="0"/>
    </w:pPr>
  </w:style>
  <w:style w:type="paragraph" w:styleId="29">
    <w:name w:val="toc 9"/>
    <w:basedOn w:val="1"/>
    <w:next w:val="1"/>
    <w:unhideWhenUsed/>
    <w:uiPriority w:val="39"/>
    <w:pPr>
      <w:spacing w:after="57"/>
      <w:ind w:left="2268" w:right="0" w:firstLine="0"/>
    </w:pPr>
  </w:style>
  <w:style w:type="paragraph" w:styleId="30">
    <w:name w:val="Title"/>
    <w:basedOn w:val="1"/>
    <w:next w:val="1"/>
    <w:link w:val="49"/>
    <w:qFormat/>
    <w:uiPriority w:val="10"/>
    <w:pPr>
      <w:spacing w:before="300" w:after="200"/>
      <w:contextualSpacing/>
    </w:pPr>
    <w:rPr>
      <w:sz w:val="48"/>
      <w:szCs w:val="48"/>
    </w:rPr>
  </w:style>
  <w:style w:type="paragraph" w:styleId="31">
    <w:name w:val="Body Text First Indent 2"/>
    <w:basedOn w:val="13"/>
    <w:link w:val="192"/>
    <w:semiHidden/>
    <w:unhideWhenUsed/>
    <w:qFormat/>
    <w:uiPriority w:val="99"/>
    <w:pPr>
      <w:ind w:firstLine="420"/>
    </w:pPr>
  </w:style>
  <w:style w:type="table" w:styleId="33">
    <w:name w:val="Table Grid"/>
    <w:basedOn w:val="3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5">
    <w:name w:val="endnote reference"/>
    <w:basedOn w:val="34"/>
    <w:semiHidden/>
    <w:unhideWhenUsed/>
    <w:uiPriority w:val="99"/>
    <w:rPr>
      <w:vertAlign w:val="superscript"/>
    </w:rPr>
  </w:style>
  <w:style w:type="character" w:styleId="36">
    <w:name w:val="Hyperlink"/>
    <w:unhideWhenUsed/>
    <w:uiPriority w:val="99"/>
    <w:rPr>
      <w:color w:val="0563C1" w:themeColor="hyperlink"/>
      <w:u w:val="single"/>
    </w:rPr>
  </w:style>
  <w:style w:type="character" w:styleId="37">
    <w:name w:val="footnote reference"/>
    <w:basedOn w:val="34"/>
    <w:unhideWhenUsed/>
    <w:uiPriority w:val="99"/>
    <w:rPr>
      <w:vertAlign w:val="superscript"/>
    </w:rPr>
  </w:style>
  <w:style w:type="character" w:customStyle="1" w:styleId="38">
    <w:name w:val="Heading 1 Char"/>
    <w:basedOn w:val="34"/>
    <w:link w:val="2"/>
    <w:uiPriority w:val="9"/>
    <w:rPr>
      <w:rFonts w:ascii="等线" w:hAnsi="等线" w:eastAsia="等线" w:cs="等线"/>
      <w:sz w:val="40"/>
      <w:szCs w:val="40"/>
    </w:rPr>
  </w:style>
  <w:style w:type="character" w:customStyle="1" w:styleId="39">
    <w:name w:val="Heading 2 Char"/>
    <w:basedOn w:val="34"/>
    <w:link w:val="3"/>
    <w:uiPriority w:val="9"/>
    <w:rPr>
      <w:rFonts w:ascii="等线" w:hAnsi="等线" w:eastAsia="等线" w:cs="等线"/>
      <w:sz w:val="34"/>
    </w:rPr>
  </w:style>
  <w:style w:type="character" w:customStyle="1" w:styleId="40">
    <w:name w:val="Heading 3 Char"/>
    <w:basedOn w:val="34"/>
    <w:link w:val="4"/>
    <w:uiPriority w:val="9"/>
    <w:rPr>
      <w:rFonts w:ascii="等线" w:hAnsi="等线" w:eastAsia="等线" w:cs="等线"/>
      <w:sz w:val="30"/>
      <w:szCs w:val="30"/>
    </w:rPr>
  </w:style>
  <w:style w:type="character" w:customStyle="1" w:styleId="41">
    <w:name w:val="Heading 4 Char"/>
    <w:basedOn w:val="34"/>
    <w:link w:val="5"/>
    <w:uiPriority w:val="9"/>
    <w:rPr>
      <w:rFonts w:ascii="等线" w:hAnsi="等线" w:eastAsia="等线" w:cs="等线"/>
      <w:b/>
      <w:bCs/>
      <w:sz w:val="26"/>
      <w:szCs w:val="26"/>
    </w:rPr>
  </w:style>
  <w:style w:type="character" w:customStyle="1" w:styleId="42">
    <w:name w:val="Heading 5 Char"/>
    <w:basedOn w:val="34"/>
    <w:link w:val="6"/>
    <w:uiPriority w:val="9"/>
    <w:rPr>
      <w:rFonts w:ascii="等线" w:hAnsi="等线" w:eastAsia="等线" w:cs="等线"/>
      <w:b/>
      <w:bCs/>
      <w:sz w:val="24"/>
      <w:szCs w:val="24"/>
    </w:rPr>
  </w:style>
  <w:style w:type="character" w:customStyle="1" w:styleId="43">
    <w:name w:val="Heading 6 Char"/>
    <w:basedOn w:val="34"/>
    <w:link w:val="7"/>
    <w:uiPriority w:val="9"/>
    <w:rPr>
      <w:rFonts w:ascii="等线" w:hAnsi="等线" w:eastAsia="等线" w:cs="等线"/>
      <w:b/>
      <w:bCs/>
      <w:sz w:val="22"/>
      <w:szCs w:val="22"/>
    </w:rPr>
  </w:style>
  <w:style w:type="character" w:customStyle="1" w:styleId="44">
    <w:name w:val="Heading 7 Char"/>
    <w:basedOn w:val="34"/>
    <w:link w:val="8"/>
    <w:uiPriority w:val="9"/>
    <w:rPr>
      <w:rFonts w:ascii="等线" w:hAnsi="等线" w:eastAsia="等线" w:cs="等线"/>
      <w:b/>
      <w:bCs/>
      <w:i/>
      <w:iCs/>
      <w:sz w:val="22"/>
      <w:szCs w:val="22"/>
    </w:rPr>
  </w:style>
  <w:style w:type="character" w:customStyle="1" w:styleId="45">
    <w:name w:val="Heading 8 Char"/>
    <w:basedOn w:val="34"/>
    <w:link w:val="9"/>
    <w:uiPriority w:val="9"/>
    <w:rPr>
      <w:rFonts w:ascii="等线" w:hAnsi="等线" w:eastAsia="等线" w:cs="等线"/>
      <w:i/>
      <w:iCs/>
      <w:sz w:val="22"/>
      <w:szCs w:val="22"/>
    </w:rPr>
  </w:style>
  <w:style w:type="character" w:customStyle="1" w:styleId="46">
    <w:name w:val="Heading 9 Char"/>
    <w:basedOn w:val="34"/>
    <w:link w:val="10"/>
    <w:qFormat/>
    <w:uiPriority w:val="9"/>
    <w:rPr>
      <w:rFonts w:ascii="等线" w:hAnsi="等线" w:eastAsia="等线" w:cs="等线"/>
      <w:i/>
      <w:iCs/>
      <w:sz w:val="21"/>
      <w:szCs w:val="21"/>
    </w:rPr>
  </w:style>
  <w:style w:type="paragraph" w:styleId="47">
    <w:name w:val="List Paragraph"/>
    <w:basedOn w:val="1"/>
    <w:qFormat/>
    <w:uiPriority w:val="34"/>
    <w:pPr>
      <w:ind w:left="720"/>
      <w:contextualSpacing/>
    </w:pPr>
  </w:style>
  <w:style w:type="paragraph" w:styleId="48">
    <w:name w:val="No Spacing"/>
    <w:qFormat/>
    <w:uiPriority w:val="1"/>
    <w:pPr>
      <w:spacing w:before="0" w:after="0" w:line="240" w:lineRule="auto"/>
    </w:pPr>
    <w:rPr>
      <w:rFonts w:hint="default" w:ascii="Times New Roman" w:hAnsi="Times New Roman" w:eastAsia="宋体" w:cs="Times New Roman"/>
    </w:rPr>
  </w:style>
  <w:style w:type="character" w:customStyle="1" w:styleId="49">
    <w:name w:val="Title Char"/>
    <w:basedOn w:val="34"/>
    <w:link w:val="30"/>
    <w:uiPriority w:val="10"/>
    <w:rPr>
      <w:sz w:val="48"/>
      <w:szCs w:val="48"/>
    </w:rPr>
  </w:style>
  <w:style w:type="character" w:customStyle="1" w:styleId="50">
    <w:name w:val="Subtitle Char"/>
    <w:basedOn w:val="34"/>
    <w:link w:val="24"/>
    <w:uiPriority w:val="11"/>
    <w:rPr>
      <w:sz w:val="24"/>
      <w:szCs w:val="24"/>
    </w:rPr>
  </w:style>
  <w:style w:type="paragraph" w:styleId="51">
    <w:name w:val="Quote"/>
    <w:basedOn w:val="1"/>
    <w:next w:val="1"/>
    <w:link w:val="52"/>
    <w:qFormat/>
    <w:uiPriority w:val="29"/>
    <w:pPr>
      <w:ind w:left="720" w:right="720"/>
    </w:pPr>
    <w:rPr>
      <w:i/>
    </w:rPr>
  </w:style>
  <w:style w:type="character" w:customStyle="1" w:styleId="52">
    <w:name w:val="Quote Char"/>
    <w:link w:val="51"/>
    <w:qFormat/>
    <w:uiPriority w:val="29"/>
    <w:rPr>
      <w:i/>
    </w:rPr>
  </w:style>
  <w:style w:type="paragraph" w:styleId="53">
    <w:name w:val="Intense Quote"/>
    <w:basedOn w:val="1"/>
    <w:next w:val="1"/>
    <w:link w:val="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4">
    <w:name w:val="Intense Quote Char"/>
    <w:link w:val="53"/>
    <w:uiPriority w:val="30"/>
    <w:rPr>
      <w:i/>
    </w:rPr>
  </w:style>
  <w:style w:type="character" w:customStyle="1" w:styleId="55">
    <w:name w:val="Header Char"/>
    <w:basedOn w:val="34"/>
    <w:uiPriority w:val="99"/>
  </w:style>
  <w:style w:type="character" w:customStyle="1" w:styleId="56">
    <w:name w:val="Footer Char"/>
    <w:basedOn w:val="34"/>
    <w:uiPriority w:val="99"/>
  </w:style>
  <w:style w:type="character" w:customStyle="1" w:styleId="57">
    <w:name w:val="Caption Char"/>
    <w:qFormat/>
    <w:uiPriority w:val="99"/>
  </w:style>
  <w:style w:type="table" w:customStyle="1" w:styleId="58">
    <w:name w:val="Table Grid Light"/>
    <w:basedOn w:val="3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1"/>
    <w:basedOn w:val="3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2"/>
    <w:basedOn w:val="3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Plain Table 3"/>
    <w:basedOn w:val="32"/>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Plain Table 4"/>
    <w:basedOn w:val="32"/>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Plain Table 5"/>
    <w:basedOn w:val="32"/>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w:basedOn w:val="32"/>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1"/>
    <w:basedOn w:val="32"/>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blPr/>
      <w:tcPr>
        <w:tcBorders>
          <w:bottom w:val="single" w:color="91ACDC"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2"/>
    <w:basedOn w:val="32"/>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38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3"/>
    <w:basedOn w:val="32"/>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4"/>
    <w:basedOn w:val="32"/>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blPr/>
      <w:tcPr>
        <w:tcBorders>
          <w:bottom w:val="single" w:color="FFDA69"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1 Light - Accent 5"/>
    <w:basedOn w:val="32"/>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blPr/>
      <w:tcPr>
        <w:tcBorders>
          <w:bottom w:val="single" w:color="9FC4E6"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1 Light - Accent 6"/>
    <w:basedOn w:val="32"/>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w:basedOn w:val="3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1"/>
    <w:basedOn w:val="32"/>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il"/>
          <w:left w:val="nil"/>
          <w:bottom w:val="single" w:color="537DC8" w:themeColor="accent1" w:themeTint="EA" w:sz="12" w:space="0"/>
          <w:right w:val="nil"/>
        </w:tcBorders>
        <w:shd w:val="clear" w:color="FFFFFF" w:fill="auto"/>
      </w:tcPr>
    </w:tblStylePr>
    <w:tblStylePr w:type="lastRow">
      <w:rPr>
        <w:b/>
        <w:color w:val="404040"/>
      </w:rPr>
      <w:tblPr/>
      <w:tcPr>
        <w:tcBorders>
          <w:top w:val="single" w:color="537DC8"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1" w:themeTint="34" w:fill="D8E2F2" w:themeFill="accent1" w:themeFillTint="34"/>
      </w:tcPr>
    </w:tblStylePr>
    <w:tblStylePr w:type="band2Vert">
      <w:tblPr/>
    </w:tblStylePr>
    <w:tblStylePr w:type="band1Horz">
      <w:rPr>
        <w:rFonts w:ascii="Arial" w:hAnsi="Arial"/>
        <w:color w:val="404040"/>
        <w:sz w:val="22"/>
      </w:rPr>
      <w:tblPr/>
      <w:tcPr>
        <w:shd w:val="clear" w:color="D8E2F2" w:themeColor="accent1" w:themeTint="34" w:fill="D8E2F2"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2"/>
    <w:basedOn w:val="32"/>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single" w:color="F4B285" w:themeColor="accent2" w:themeTint="97" w:sz="12" w:space="0"/>
          <w:right w:val="nil"/>
        </w:tcBorders>
        <w:shd w:val="clear" w:color="FFFFFF" w:fill="auto"/>
      </w:tcPr>
    </w:tblStylePr>
    <w:tblStylePr w:type="lastRow">
      <w:rPr>
        <w:b/>
        <w:color w:val="404040"/>
      </w:rPr>
      <w:tblPr/>
      <w:tcPr>
        <w:tcBorders>
          <w:top w:val="single" w:color="F4B28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3"/>
    <w:basedOn w:val="32"/>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single" w:color="A5A5A5" w:themeColor="accent3" w:themeTint="FE" w:sz="12" w:space="0"/>
          <w:right w:val="nil"/>
        </w:tcBorders>
        <w:shd w:val="clear" w:color="FFFFFF" w:fill="auto"/>
      </w:tcPr>
    </w:tblStylePr>
    <w:tblStylePr w:type="lastRow">
      <w:rPr>
        <w:b/>
        <w:color w:val="404040"/>
      </w:rPr>
      <w:tblPr/>
      <w:tcPr>
        <w:tcBorders>
          <w:top w:val="single" w:color="A5A5A5"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4"/>
    <w:basedOn w:val="32"/>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single" w:color="FFD864" w:themeColor="accent4" w:themeTint="9A" w:sz="12" w:space="0"/>
          <w:right w:val="nil"/>
        </w:tcBorders>
        <w:shd w:val="clear" w:color="FFFFFF" w:fill="auto"/>
      </w:tcPr>
    </w:tblStylePr>
    <w:tblStylePr w:type="lastRow">
      <w:rPr>
        <w:b/>
        <w:color w:val="404040"/>
      </w:rPr>
      <w:tblPr/>
      <w:tcPr>
        <w:tcBorders>
          <w:top w:val="single" w:color="FFD864"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2 - Accent 5"/>
    <w:basedOn w:val="32"/>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il"/>
          <w:left w:val="nil"/>
          <w:bottom w:val="single" w:color="5B9BD5" w:themeColor="accent5" w:sz="12" w:space="0"/>
          <w:right w:val="nil"/>
        </w:tcBorders>
        <w:shd w:val="clear" w:color="FFFFFF" w:fill="auto"/>
      </w:tcPr>
    </w:tblStylePr>
    <w:tblStylePr w:type="lastRow">
      <w:rPr>
        <w:b/>
        <w:color w:val="404040"/>
      </w:rPr>
      <w:tblPr/>
      <w:tcPr>
        <w:tcBorders>
          <w:top w:val="single" w:color="5B9BD5"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2 - Accent 6"/>
    <w:basedOn w:val="32"/>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single" w:color="70AD47" w:themeColor="accent6" w:sz="12" w:space="0"/>
          <w:right w:val="nil"/>
        </w:tcBorders>
        <w:shd w:val="clear" w:color="FFFFFF" w:fill="auto"/>
      </w:tcPr>
    </w:tblStylePr>
    <w:tblStylePr w:type="lastRow">
      <w:rPr>
        <w:b/>
        <w:color w:val="404040"/>
      </w:rPr>
      <w:tblPr/>
      <w:tcPr>
        <w:tcBorders>
          <w:top w:val="single" w:color="70AD47"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w:basedOn w:val="3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1"/>
    <w:basedOn w:val="32"/>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2" w:themeColor="accent1" w:themeTint="34" w:fill="D8E2F2" w:themeFill="accent1" w:themeFillTint="34"/>
      </w:tcPr>
    </w:tblStylePr>
    <w:tblStylePr w:type="band2Vert">
      <w:tblPr/>
    </w:tblStylePr>
    <w:tblStylePr w:type="band1Horz">
      <w:rPr>
        <w:rFonts w:ascii="Arial" w:hAnsi="Arial"/>
        <w:color w:val="404040"/>
        <w:sz w:val="22"/>
      </w:rPr>
      <w:tblPr/>
      <w:tcPr>
        <w:shd w:val="clear" w:color="D8E2F2" w:themeColor="accent1" w:themeTint="34" w:fill="D8E2F2"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2"/>
    <w:basedOn w:val="32"/>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3"/>
    <w:basedOn w:val="32"/>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4"/>
    <w:basedOn w:val="32"/>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3 - Accent 5"/>
    <w:basedOn w:val="32"/>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3 - Accent 6"/>
    <w:basedOn w:val="32"/>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w:basedOn w:val="3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1"/>
    <w:basedOn w:val="32"/>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bl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blPr/>
      <w:tcPr>
        <w:tcBorders>
          <w:top w:val="single" w:color="537DC8"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3F3" w:themeColor="accent1" w:themeTint="32" w:fill="DAE3F3" w:themeFill="accent1" w:themeFillTint="32"/>
      </w:tcPr>
    </w:tblStylePr>
    <w:tblStylePr w:type="band2Vert">
      <w:tblPr/>
    </w:tblStylePr>
    <w:tblStylePr w:type="band1Horz">
      <w:rPr>
        <w:rFonts w:ascii="Arial" w:hAnsi="Arial"/>
        <w:color w:val="404040"/>
        <w:sz w:val="22"/>
      </w:rPr>
      <w:tblPr/>
      <w:tcPr>
        <w:shd w:val="clear" w:color="DAE3F3" w:themeColor="accent1" w:themeTint="32" w:fill="DAE3F3"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2"/>
    <w:basedOn w:val="32"/>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blPr/>
      <w:tcPr>
        <w:tcBorders>
          <w:top w:val="single" w:color="F4B28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3"/>
    <w:basedOn w:val="32"/>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4"/>
    <w:basedOn w:val="32"/>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bl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blPr/>
      <w:tcPr>
        <w:tcBorders>
          <w:top w:val="single" w:color="FFD864"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4 - Accent 5"/>
    <w:basedOn w:val="32"/>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blPr/>
      <w:tcPr>
        <w:tcBorders>
          <w:top w:val="single" w:color="5B9BD5"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4 - Accent 6"/>
    <w:basedOn w:val="32"/>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w:basedOn w:val="32"/>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CCE8C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Accent 1"/>
    <w:basedOn w:val="32"/>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color="CCE8CF" w:themeColor="light1" w:sz="4" w:space="0"/>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3" w:themeColor="accent1" w:themeTint="75" w:fill="A9BEE3" w:themeFill="accent1" w:themeFillTint="75"/>
      </w:tcPr>
    </w:tblStylePr>
    <w:tblStylePr w:type="band2Vert">
      <w:tblPr/>
    </w:tblStylePr>
    <w:tblStylePr w:type="band1Horz">
      <w:tblPr/>
      <w:tcPr>
        <w:shd w:val="clear" w:color="A9BEE3" w:themeColor="accent1" w:themeTint="75" w:fill="A9BEE3"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2"/>
    <w:basedOn w:val="32"/>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CCE8C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2Vert">
      <w:tblPr/>
    </w:tblStylePr>
    <w:tblStylePr w:type="band1Horz">
      <w:tblPr/>
      <w:tcPr>
        <w:shd w:val="clear" w:color="F6C3A0" w:themeColor="accent2" w:themeTint="75" w:fill="F6C3A0"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 Accent 3"/>
    <w:basedOn w:val="32"/>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CCE8C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2Vert">
      <w:tblPr/>
    </w:tblStylePr>
    <w:tblStylePr w:type="band1Horz">
      <w:tblPr/>
      <w:tcPr>
        <w:shd w:val="clear" w:color="D5D5D5" w:themeColor="accent3" w:themeTint="75" w:fill="D5D5D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Accent 4"/>
    <w:basedOn w:val="32"/>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CCE8C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EE289" w:themeColor="accent4" w:themeTint="75" w:fill="FEE289" w:themeFill="accent4" w:themeFillTint="75"/>
      </w:tcPr>
    </w:tblStylePr>
    <w:tblStylePr w:type="band2Vert">
      <w:tblPr/>
    </w:tblStylePr>
    <w:tblStylePr w:type="band1Horz">
      <w:tblPr/>
      <w:tcPr>
        <w:shd w:val="clear" w:color="FEE289" w:themeColor="accent4" w:themeTint="75" w:fill="FEE289"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5 Dark - Accent 5"/>
    <w:basedOn w:val="32"/>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color="CCE8CF" w:themeColor="light1" w:sz="4" w:space="0"/>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1EB" w:themeColor="accent5" w:themeTint="75" w:fill="B3D1EB" w:themeFill="accent5" w:themeFillTint="75"/>
      </w:tcPr>
    </w:tblStylePr>
    <w:tblStylePr w:type="band2Vert">
      <w:tblPr/>
    </w:tblStylePr>
    <w:tblStylePr w:type="band1Horz">
      <w:tblPr/>
      <w:tcPr>
        <w:shd w:val="clear" w:color="B3D1EB" w:themeColor="accent5" w:themeTint="75" w:fill="B3D1EB"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8">
    <w:name w:val="Grid Table 5 Dark - Accent 6"/>
    <w:basedOn w:val="32"/>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CCE8C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2Vert">
      <w:tblPr/>
    </w:tblStylePr>
    <w:tblStylePr w:type="band1Horz">
      <w:tblPr/>
      <w:tcPr>
        <w:shd w:val="clear" w:color="BCDBA8" w:themeColor="accent6" w:themeTint="75" w:fill="BCDBA8"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9">
    <w:name w:val="Grid Table 6 Colorful"/>
    <w:basedOn w:val="3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1"/>
    <w:basedOn w:val="32"/>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1B8E1" w:themeColor="accent1" w:themeShade="95" w:themeTint="80"/>
      </w:rPr>
      <w:tblPr/>
      <w:tcPr>
        <w:tcBorders>
          <w:bottom w:val="single" w:color="A1B8E1" w:themeColor="accent1" w:themeTint="80" w:sz="12" w:space="0"/>
        </w:tcBorders>
      </w:tcPr>
    </w:tblStylePr>
    <w:tblStylePr w:type="lastRow">
      <w:rPr>
        <w:b/>
        <w:color w:val="A1B8E1" w:themeColor="accent1" w:themeShade="95" w:themeTint="80"/>
      </w:rPr>
      <w:tblPr/>
    </w:tblStylePr>
    <w:tblStylePr w:type="firstCol">
      <w:rPr>
        <w:b/>
        <w:color w:val="A1B8E1" w:themeColor="accent1" w:themeShade="95" w:themeTint="80"/>
      </w:rPr>
      <w:tblPr/>
    </w:tblStylePr>
    <w:tblStylePr w:type="lastCol">
      <w:rPr>
        <w:b/>
        <w:color w:val="A1B8E1" w:themeColor="accent1" w:themeShade="95" w:themeTint="80"/>
      </w:rPr>
      <w:tblPr/>
    </w:tblStylePr>
    <w:tblStylePr w:type="band1Vert">
      <w:tblPr/>
      <w:tcPr>
        <w:shd w:val="clear" w:color="D8E2F2" w:themeColor="accent1" w:themeTint="34" w:fill="D8E2F2" w:themeFill="accent1" w:themeFillTint="34"/>
      </w:tcPr>
    </w:tblStylePr>
    <w:tblStylePr w:type="band2Vert">
      <w:tblPr/>
    </w:tblStylePr>
    <w:tblStylePr w:type="band1Horz">
      <w:rPr>
        <w:rFonts w:ascii="Arial" w:hAnsi="Arial"/>
        <w:color w:val="A1B8E1" w:themeColor="accent1" w:themeShade="95" w:themeTint="80"/>
        <w:sz w:val="22"/>
      </w:rPr>
      <w:tblPr/>
      <w:tcPr>
        <w:shd w:val="clear" w:color="D8E2F2" w:themeColor="accent1" w:themeTint="34" w:fill="D8E2F2" w:themeFill="accent1" w:themeFillTint="34"/>
      </w:tcPr>
    </w:tblStylePr>
    <w:tblStylePr w:type="band2Horz">
      <w:rPr>
        <w:rFonts w:ascii="Arial" w:hAnsi="Arial"/>
        <w:color w:val="A1B8E1"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2"/>
    <w:basedOn w:val="32"/>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Shade="95" w:themeTint="97"/>
      </w:rPr>
      <w:tblPr/>
      <w:tcPr>
        <w:tcBorders>
          <w:bottom w:val="single" w:color="F4B285" w:themeColor="accent2" w:themeTint="97" w:sz="12" w:space="0"/>
        </w:tcBorders>
      </w:tcPr>
    </w:tblStylePr>
    <w:tblStylePr w:type="lastRow">
      <w:rPr>
        <w:b/>
        <w:color w:val="F4B285" w:themeColor="accent2" w:themeShade="95" w:themeTint="97"/>
      </w:rPr>
      <w:tblPr/>
    </w:tblStylePr>
    <w:tblStylePr w:type="firstCol">
      <w:rPr>
        <w:b/>
        <w:color w:val="F4B285" w:themeColor="accent2" w:themeShade="95" w:themeTint="97"/>
      </w:rPr>
      <w:tblPr/>
    </w:tblStylePr>
    <w:tblStylePr w:type="lastCol">
      <w:rPr>
        <w:b/>
        <w:color w:val="F4B285" w:themeColor="accent2" w:themeShade="95" w:themeTint="97"/>
      </w:rPr>
      <w:tbl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Shade="95" w:themeTint="97"/>
        <w:sz w:val="22"/>
      </w:rPr>
      <w:tblPr/>
      <w:tcPr>
        <w:shd w:val="clear" w:color="FBE5D6" w:themeColor="accent2" w:themeTint="32" w:fill="FBE5D6" w:themeFill="accent2" w:themeFillTint="32"/>
      </w:tcPr>
    </w:tblStylePr>
    <w:tblStylePr w:type="band2Horz">
      <w:rPr>
        <w:rFonts w:ascii="Arial" w:hAnsi="Arial"/>
        <w:color w:val="F4B28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3"/>
    <w:basedOn w:val="32"/>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Shade="95" w:themeTint="FE"/>
      </w:rPr>
      <w:tblPr/>
      <w:tcPr>
        <w:tcBorders>
          <w:bottom w:val="single" w:color="A5A5A5" w:themeColor="accent3" w:themeTint="FE" w:sz="12" w:space="0"/>
        </w:tcBorders>
      </w:tcPr>
    </w:tblStylePr>
    <w:tblStylePr w:type="lastRow">
      <w:rPr>
        <w:b/>
        <w:color w:val="A5A5A5" w:themeColor="accent3" w:themeShade="95" w:themeTint="FE"/>
      </w:rPr>
      <w:tblPr/>
    </w:tblStylePr>
    <w:tblStylePr w:type="firstCol">
      <w:rPr>
        <w:b/>
        <w:color w:val="A5A5A5" w:themeColor="accent3" w:themeShade="95" w:themeTint="FE"/>
      </w:rPr>
      <w:tblPr/>
    </w:tblStylePr>
    <w:tblStylePr w:type="lastCol">
      <w:rPr>
        <w:b/>
        <w:color w:val="A5A5A5" w:themeColor="accent3" w:themeShade="95" w:themeTint="FE"/>
      </w:rPr>
      <w:tbl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Shade="95" w:themeTint="FE"/>
        <w:sz w:val="22"/>
      </w:rPr>
      <w:tblPr/>
      <w:tcPr>
        <w:shd w:val="clear" w:color="ECECEC" w:themeColor="accent3" w:themeTint="34" w:fill="ECECEC" w:themeFill="accent3" w:themeFillTint="34"/>
      </w:tcPr>
    </w:tblStylePr>
    <w:tblStylePr w:type="band2Horz">
      <w:rPr>
        <w:rFonts w:ascii="Arial" w:hAnsi="Arial"/>
        <w:color w:val="A5A5A5"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4"/>
    <w:basedOn w:val="32"/>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864" w:themeColor="accent4" w:themeShade="95" w:themeTint="9A"/>
      </w:rPr>
      <w:tblPr/>
      <w:tcPr>
        <w:tcBorders>
          <w:bottom w:val="single" w:color="FFD864" w:themeColor="accent4" w:themeTint="9A" w:sz="12" w:space="0"/>
        </w:tcBorders>
      </w:tcPr>
    </w:tblStylePr>
    <w:tblStylePr w:type="lastRow">
      <w:rPr>
        <w:b/>
        <w:color w:val="FFD864" w:themeColor="accent4" w:themeShade="95" w:themeTint="9A"/>
      </w:rPr>
      <w:tblPr/>
    </w:tblStylePr>
    <w:tblStylePr w:type="firstCol">
      <w:rPr>
        <w:b/>
        <w:color w:val="FFD864" w:themeColor="accent4" w:themeShade="95" w:themeTint="9A"/>
      </w:rPr>
      <w:tblPr/>
    </w:tblStylePr>
    <w:tblStylePr w:type="lastCol">
      <w:rPr>
        <w:b/>
        <w:color w:val="FFD864" w:themeColor="accent4" w:themeShade="95" w:themeTint="9A"/>
      </w:rPr>
      <w:tbl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864" w:themeColor="accent4" w:themeShade="95" w:themeTint="9A"/>
        <w:sz w:val="22"/>
      </w:rPr>
      <w:tblPr/>
      <w:tcPr>
        <w:shd w:val="clear" w:color="FEF2CA" w:themeColor="accent4" w:themeTint="34" w:fill="FEF2CA" w:themeFill="accent4" w:themeFillTint="34"/>
      </w:tcPr>
    </w:tblStylePr>
    <w:tblStylePr w:type="band2Horz">
      <w:rPr>
        <w:rFonts w:ascii="Arial" w:hAnsi="Arial"/>
        <w:color w:val="FFD864"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6 Colorful - Accent 5"/>
    <w:basedOn w:val="32"/>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D" w:themeColor="accent5" w:themeShade="95"/>
      </w:rPr>
      <w:tblPr/>
      <w:tcPr>
        <w:tcBorders>
          <w:bottom w:val="single" w:color="5B9BD5" w:themeColor="accent5" w:sz="12" w:space="0"/>
        </w:tcBorders>
      </w:tcPr>
    </w:tblStylePr>
    <w:tblStylePr w:type="lastRow">
      <w:rPr>
        <w:b/>
        <w:color w:val="245B8D" w:themeColor="accent5" w:themeShade="95"/>
      </w:rPr>
      <w:tblPr/>
    </w:tblStylePr>
    <w:tblStylePr w:type="firstCol">
      <w:rPr>
        <w:b/>
        <w:color w:val="245B8D" w:themeColor="accent5" w:themeShade="95"/>
      </w:rPr>
      <w:tblPr/>
    </w:tblStylePr>
    <w:tblStylePr w:type="lastCol">
      <w:rPr>
        <w:b/>
        <w:color w:val="245B8D" w:themeColor="accent5" w:themeShade="95"/>
      </w:rPr>
      <w:tblPr/>
    </w:tblStylePr>
    <w:tblStylePr w:type="band1Vert">
      <w:tblPr/>
      <w:tcPr>
        <w:shd w:val="clear" w:color="DDEAF6" w:themeColor="accent5" w:themeTint="34" w:fill="DDEAF6" w:themeFill="accent5" w:themeFillTint="34"/>
      </w:tcPr>
    </w:tblStylePr>
    <w:tblStylePr w:type="band2Vert">
      <w:tblPr/>
    </w:tblStylePr>
    <w:tblStylePr w:type="band1Horz">
      <w:rPr>
        <w:rFonts w:ascii="Arial" w:hAnsi="Arial"/>
        <w:color w:val="245B8D" w:themeColor="accent5" w:themeShade="95"/>
        <w:sz w:val="22"/>
      </w:rPr>
      <w:tblPr/>
      <w:tcPr>
        <w:shd w:val="clear" w:color="DDEAF6" w:themeColor="accent5" w:themeTint="34" w:fill="DDEAF6" w:themeFill="accent5" w:themeFillTint="34"/>
      </w:tcPr>
    </w:tblStylePr>
    <w:tblStylePr w:type="band2Horz">
      <w:rPr>
        <w:rFonts w:ascii="Arial" w:hAnsi="Arial"/>
        <w:color w:val="245B8D"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6 Colorful - Accent 6"/>
    <w:basedOn w:val="32"/>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D" w:themeColor="accent5" w:themeShade="95"/>
      </w:rPr>
      <w:tblPr/>
      <w:tcPr>
        <w:tcBorders>
          <w:bottom w:val="single" w:color="70AD47" w:themeColor="accent6" w:sz="12" w:space="0"/>
        </w:tcBorders>
      </w:tcPr>
    </w:tblStylePr>
    <w:tblStylePr w:type="lastRow">
      <w:rPr>
        <w:b/>
        <w:color w:val="245B8D" w:themeColor="accent5" w:themeShade="95"/>
      </w:rPr>
      <w:tblPr/>
    </w:tblStylePr>
    <w:tblStylePr w:type="firstCol">
      <w:rPr>
        <w:b/>
        <w:color w:val="245B8D" w:themeColor="accent5" w:themeShade="95"/>
      </w:rPr>
      <w:tblPr/>
    </w:tblStylePr>
    <w:tblStylePr w:type="lastCol">
      <w:rPr>
        <w:b/>
        <w:color w:val="245B8D" w:themeColor="accent5" w:themeShade="95"/>
      </w:rPr>
      <w:tbl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245B8D" w:themeColor="accent5" w:themeShade="95"/>
        <w:sz w:val="22"/>
      </w:rPr>
      <w:tblPr/>
      <w:tcPr>
        <w:shd w:val="clear" w:color="E1EFD8" w:themeColor="accent6" w:themeTint="34" w:fill="E1EFD8" w:themeFill="accent6" w:themeFillTint="34"/>
      </w:tcPr>
    </w:tblStylePr>
    <w:tblStylePr w:type="band2Horz">
      <w:rPr>
        <w:rFonts w:ascii="Arial" w:hAnsi="Arial"/>
        <w:color w:val="245B8D"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w:basedOn w:val="3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CCE8CF" w:themeColor="light1" w:fill="CCE8C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CCE8CF" w:themeColor="light1" w:fill="CCE8C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1"/>
    <w:basedOn w:val="32"/>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1B8E1" w:themeColor="accent1" w:themeShade="95" w:themeTint="80"/>
        <w:sz w:val="22"/>
      </w:rPr>
      <w:tblPr/>
      <w:tcPr>
        <w:tcBorders>
          <w:top w:val="nil"/>
          <w:left w:val="nil"/>
          <w:bottom w:val="single" w:color="A1B8E1" w:themeColor="accent1" w:themeTint="80" w:sz="4" w:space="0"/>
          <w:right w:val="nil"/>
        </w:tcBorders>
        <w:shd w:val="clear" w:color="CCE8CF" w:themeColor="light1" w:fill="CCE8CF" w:themeFill="light1"/>
      </w:tcPr>
    </w:tblStylePr>
    <w:tblStylePr w:type="lastRow">
      <w:rPr>
        <w:rFonts w:ascii="Arial" w:hAnsi="Arial"/>
        <w:b/>
        <w:color w:val="A1B8E1" w:themeColor="accent1" w:themeShade="95" w:themeTint="80"/>
        <w:sz w:val="22"/>
      </w:rPr>
      <w:tblPr/>
      <w:tcPr>
        <w:tcBorders>
          <w:top w:val="single" w:color="A1B8E1" w:themeColor="accent1" w:themeTint="80" w:sz="4" w:space="0"/>
          <w:left w:val="nil"/>
          <w:bottom w:val="nil"/>
          <w:right w:val="nil"/>
        </w:tcBorders>
        <w:shd w:val="clear" w:color="CCE8CF" w:themeColor="light1" w:fill="CCE8CF" w:themeFill="light1"/>
      </w:tcPr>
    </w:tblStylePr>
    <w:tblStylePr w:type="firstCol">
      <w:pPr>
        <w:jc w:val="right"/>
      </w:pPr>
      <w:rPr>
        <w:rFonts w:ascii="Arial" w:hAnsi="Arial"/>
        <w:i/>
        <w:color w:val="A1B8E1" w:themeColor="accent1" w:themeShade="95" w:themeTint="80"/>
        <w:sz w:val="22"/>
      </w:rPr>
      <w:tbl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1B8E1" w:themeColor="accent1" w:themeShade="95" w:themeTint="80"/>
        <w:sz w:val="22"/>
      </w:rPr>
      <w:tblPr/>
      <w:tcPr>
        <w:tcBorders>
          <w:top w:val="nil"/>
          <w:left w:val="single" w:color="A1B8E1" w:themeColor="accent1" w:themeTint="80" w:sz="4" w:space="0"/>
          <w:bottom w:val="nil"/>
          <w:right w:val="nil"/>
        </w:tcBorders>
        <w:shd w:val="clear" w:color="FFFFFF" w:fill="auto"/>
      </w:tcPr>
    </w:tblStylePr>
    <w:tblStylePr w:type="band1Vert">
      <w:tblPr/>
      <w:tcPr>
        <w:shd w:val="clear" w:color="D8E2F2" w:themeColor="accent1" w:themeTint="34" w:fill="D8E2F2" w:themeFill="accent1" w:themeFillTint="34"/>
      </w:tcPr>
    </w:tblStylePr>
    <w:tblStylePr w:type="band2Vert">
      <w:tblPr/>
    </w:tblStylePr>
    <w:tblStylePr w:type="band1Horz">
      <w:rPr>
        <w:rFonts w:ascii="Arial" w:hAnsi="Arial"/>
        <w:color w:val="A1B8E1" w:themeColor="accent1" w:themeShade="95" w:themeTint="80"/>
        <w:sz w:val="22"/>
      </w:rPr>
      <w:tblPr/>
      <w:tcPr>
        <w:shd w:val="clear" w:color="D8E2F2" w:themeColor="accent1" w:themeTint="34" w:fill="D8E2F2" w:themeFill="accent1" w:themeFillTint="34"/>
      </w:tcPr>
    </w:tblStylePr>
    <w:tblStylePr w:type="band2Horz">
      <w:rPr>
        <w:rFonts w:ascii="Arial" w:hAnsi="Arial"/>
        <w:color w:val="A1B8E1"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2"/>
    <w:basedOn w:val="32"/>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Shade="95" w:themeTint="97"/>
        <w:sz w:val="22"/>
      </w:rPr>
      <w:tblPr/>
      <w:tcPr>
        <w:tcBorders>
          <w:top w:val="nil"/>
          <w:left w:val="nil"/>
          <w:bottom w:val="single" w:color="F4B285" w:themeColor="accent2" w:themeTint="97" w:sz="4" w:space="0"/>
          <w:right w:val="nil"/>
        </w:tcBorders>
        <w:shd w:val="clear" w:color="CCE8CF" w:themeColor="light1" w:fill="CCE8CF" w:themeFill="light1"/>
      </w:tcPr>
    </w:tblStylePr>
    <w:tblStylePr w:type="lastRow">
      <w:rPr>
        <w:rFonts w:ascii="Arial" w:hAnsi="Arial"/>
        <w:b/>
        <w:color w:val="F4B285" w:themeColor="accent2" w:themeShade="95" w:themeTint="97"/>
        <w:sz w:val="22"/>
      </w:rPr>
      <w:tblPr/>
      <w:tcPr>
        <w:tcBorders>
          <w:top w:val="single" w:color="F4B285" w:themeColor="accent2" w:themeTint="97" w:sz="4" w:space="0"/>
          <w:left w:val="nil"/>
          <w:bottom w:val="nil"/>
          <w:right w:val="nil"/>
        </w:tcBorders>
        <w:shd w:val="clear" w:color="CCE8CF" w:themeColor="light1" w:fill="CCE8CF" w:themeFill="light1"/>
      </w:tcPr>
    </w:tblStylePr>
    <w:tblStylePr w:type="firstCol">
      <w:pPr>
        <w:jc w:val="right"/>
      </w:pPr>
      <w:rPr>
        <w:rFonts w:ascii="Arial" w:hAnsi="Arial"/>
        <w:i/>
        <w:color w:val="F4B285" w:themeColor="accent2" w:themeShade="95" w:themeTint="97"/>
        <w:sz w:val="22"/>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Shade="95" w:themeTint="97"/>
        <w:sz w:val="22"/>
      </w:rPr>
      <w:tblPr/>
      <w:tcPr>
        <w:tcBorders>
          <w:top w:val="nil"/>
          <w:left w:val="single" w:color="F4B285" w:themeColor="accent2" w:themeTint="97" w:sz="4" w:space="0"/>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Shade="95" w:themeTint="97"/>
        <w:sz w:val="22"/>
      </w:rPr>
      <w:tblPr/>
      <w:tcPr>
        <w:shd w:val="clear" w:color="FBE5D6" w:themeColor="accent2" w:themeTint="32" w:fill="FBE5D6" w:themeFill="accent2" w:themeFillTint="32"/>
      </w:tcPr>
    </w:tblStylePr>
    <w:tblStylePr w:type="band2Horz">
      <w:rPr>
        <w:rFonts w:ascii="Arial" w:hAnsi="Arial"/>
        <w:color w:val="F4B28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3"/>
    <w:basedOn w:val="32"/>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Shade="95" w:themeTint="FE"/>
        <w:sz w:val="22"/>
      </w:rPr>
      <w:tblPr/>
      <w:tcPr>
        <w:tcBorders>
          <w:top w:val="nil"/>
          <w:left w:val="nil"/>
          <w:bottom w:val="single" w:color="A5A5A5" w:themeColor="accent3" w:themeTint="FE" w:sz="4" w:space="0"/>
          <w:right w:val="nil"/>
        </w:tcBorders>
        <w:shd w:val="clear" w:color="CCE8CF" w:themeColor="light1" w:fill="CCE8CF" w:themeFill="light1"/>
      </w:tcPr>
    </w:tblStylePr>
    <w:tblStylePr w:type="lastRow">
      <w:rPr>
        <w:rFonts w:ascii="Arial" w:hAnsi="Arial"/>
        <w:b/>
        <w:color w:val="A5A5A5" w:themeColor="accent3" w:themeShade="95" w:themeTint="FE"/>
        <w:sz w:val="22"/>
      </w:rPr>
      <w:tblPr/>
      <w:tcPr>
        <w:tcBorders>
          <w:top w:val="single" w:color="A5A5A5" w:themeColor="accent3" w:themeTint="FE" w:sz="4" w:space="0"/>
          <w:left w:val="nil"/>
          <w:bottom w:val="nil"/>
          <w:right w:val="nil"/>
        </w:tcBorders>
        <w:shd w:val="clear" w:color="CCE8CF" w:themeColor="light1" w:fill="CCE8CF" w:themeFill="light1"/>
      </w:tcPr>
    </w:tblStylePr>
    <w:tblStylePr w:type="firstCol">
      <w:pPr>
        <w:jc w:val="right"/>
      </w:pPr>
      <w:rPr>
        <w:rFonts w:ascii="Arial" w:hAnsi="Arial"/>
        <w:i/>
        <w:color w:val="A5A5A5" w:themeColor="accent3" w:themeShade="95" w:themeTint="FE"/>
        <w:sz w:val="22"/>
      </w:rPr>
      <w:tbl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Shade="95" w:themeTint="FE"/>
        <w:sz w:val="22"/>
      </w:rPr>
      <w:tblPr/>
      <w:tcPr>
        <w:tcBorders>
          <w:top w:val="nil"/>
          <w:left w:val="single" w:color="A5A5A5" w:themeColor="accent3" w:themeTint="FE" w:sz="4" w:space="0"/>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Shade="95" w:themeTint="FE"/>
        <w:sz w:val="22"/>
      </w:rPr>
      <w:tblPr/>
      <w:tcPr>
        <w:shd w:val="clear" w:color="ECECEC" w:themeColor="accent3" w:themeTint="34" w:fill="ECECEC" w:themeFill="accent3" w:themeFillTint="34"/>
      </w:tcPr>
    </w:tblStylePr>
    <w:tblStylePr w:type="band2Horz">
      <w:rPr>
        <w:rFonts w:ascii="Arial" w:hAnsi="Arial"/>
        <w:color w:val="A5A5A5"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4"/>
    <w:basedOn w:val="32"/>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864" w:themeColor="accent4" w:themeShade="95" w:themeTint="9A"/>
        <w:sz w:val="22"/>
      </w:rPr>
      <w:tblPr/>
      <w:tcPr>
        <w:tcBorders>
          <w:top w:val="nil"/>
          <w:left w:val="nil"/>
          <w:bottom w:val="single" w:color="FFD864" w:themeColor="accent4" w:themeTint="9A" w:sz="4" w:space="0"/>
          <w:right w:val="nil"/>
        </w:tcBorders>
        <w:shd w:val="clear" w:color="CCE8CF" w:themeColor="light1" w:fill="CCE8CF" w:themeFill="light1"/>
      </w:tcPr>
    </w:tblStylePr>
    <w:tblStylePr w:type="lastRow">
      <w:rPr>
        <w:rFonts w:ascii="Arial" w:hAnsi="Arial"/>
        <w:b/>
        <w:color w:val="FFD864" w:themeColor="accent4" w:themeShade="95" w:themeTint="9A"/>
        <w:sz w:val="22"/>
      </w:rPr>
      <w:tblPr/>
      <w:tcPr>
        <w:tcBorders>
          <w:top w:val="single" w:color="FFD864" w:themeColor="accent4" w:themeTint="9A" w:sz="4" w:space="0"/>
          <w:left w:val="nil"/>
          <w:bottom w:val="nil"/>
          <w:right w:val="nil"/>
        </w:tcBorders>
        <w:shd w:val="clear" w:color="CCE8CF" w:themeColor="light1" w:fill="CCE8CF" w:themeFill="light1"/>
      </w:tcPr>
    </w:tblStylePr>
    <w:tblStylePr w:type="firstCol">
      <w:pPr>
        <w:jc w:val="right"/>
      </w:pPr>
      <w:rPr>
        <w:rFonts w:ascii="Arial" w:hAnsi="Arial"/>
        <w:i/>
        <w:color w:val="FFD864" w:themeColor="accent4" w:themeShade="95" w:themeTint="9A"/>
        <w:sz w:val="22"/>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864" w:themeColor="accent4" w:themeShade="95" w:themeTint="9A"/>
        <w:sz w:val="22"/>
      </w:rPr>
      <w:tblPr/>
      <w:tcPr>
        <w:tcBorders>
          <w:top w:val="nil"/>
          <w:left w:val="single" w:color="FFD864" w:themeColor="accent4" w:themeTint="9A" w:sz="4" w:space="0"/>
          <w:bottom w:val="nil"/>
          <w:right w:val="nil"/>
        </w:tcBorders>
        <w:shd w:val="clear" w:color="FFFFFF" w:fill="auto"/>
      </w:tc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864" w:themeColor="accent4" w:themeShade="95" w:themeTint="9A"/>
        <w:sz w:val="22"/>
      </w:rPr>
      <w:tblPr/>
      <w:tcPr>
        <w:shd w:val="clear" w:color="FEF2CA" w:themeColor="accent4" w:themeTint="34" w:fill="FEF2CA" w:themeFill="accent4" w:themeFillTint="34"/>
      </w:tcPr>
    </w:tblStylePr>
    <w:tblStylePr w:type="band2Horz">
      <w:rPr>
        <w:rFonts w:ascii="Arial" w:hAnsi="Arial"/>
        <w:color w:val="FFD864"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11">
    <w:name w:val="Grid Table 7 Colorful - Accent 5"/>
    <w:basedOn w:val="32"/>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D" w:themeColor="accent5" w:themeShade="95"/>
        <w:sz w:val="22"/>
      </w:rPr>
      <w:tblPr/>
      <w:tcPr>
        <w:tcBorders>
          <w:top w:val="nil"/>
          <w:left w:val="nil"/>
          <w:bottom w:val="single" w:color="A2C6E7" w:themeColor="accent5" w:themeTint="90" w:sz="4" w:space="0"/>
          <w:right w:val="nil"/>
        </w:tcBorders>
        <w:shd w:val="clear" w:color="CCE8CF" w:themeColor="light1" w:fill="CCE8CF" w:themeFill="light1"/>
      </w:tcPr>
    </w:tblStylePr>
    <w:tblStylePr w:type="lastRow">
      <w:rPr>
        <w:rFonts w:ascii="Arial" w:hAnsi="Arial"/>
        <w:b/>
        <w:color w:val="245B8D" w:themeColor="accent5" w:themeShade="95"/>
        <w:sz w:val="22"/>
      </w:rPr>
      <w:tblPr/>
      <w:tcPr>
        <w:tcBorders>
          <w:top w:val="single" w:color="A2C6E7" w:themeColor="accent5" w:themeTint="90" w:sz="4" w:space="0"/>
          <w:left w:val="nil"/>
          <w:bottom w:val="nil"/>
          <w:right w:val="nil"/>
        </w:tcBorders>
        <w:shd w:val="clear" w:color="CCE8CF" w:themeColor="light1" w:fill="CCE8CF" w:themeFill="light1"/>
      </w:tcPr>
    </w:tblStylePr>
    <w:tblStylePr w:type="firstCol">
      <w:pPr>
        <w:jc w:val="right"/>
      </w:pPr>
      <w:rPr>
        <w:rFonts w:ascii="Arial" w:hAnsi="Arial"/>
        <w:i/>
        <w:color w:val="245B8D" w:themeColor="accent5" w:themeShade="95"/>
        <w:sz w:val="22"/>
      </w:rPr>
      <w:tbl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D" w:themeColor="accent5" w:themeShade="95"/>
        <w:sz w:val="22"/>
      </w:rPr>
      <w:tblPr/>
      <w:tcPr>
        <w:tcBorders>
          <w:top w:val="nil"/>
          <w:left w:val="single" w:color="A2C6E7" w:themeColor="accent5" w:themeTint="90" w:sz="4" w:space="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2Vert">
      <w:tblPr/>
    </w:tblStylePr>
    <w:tblStylePr w:type="band1Horz">
      <w:rPr>
        <w:rFonts w:ascii="Arial" w:hAnsi="Arial"/>
        <w:color w:val="245B8D" w:themeColor="accent5" w:themeShade="95"/>
        <w:sz w:val="22"/>
      </w:rPr>
      <w:tblPr/>
      <w:tcPr>
        <w:shd w:val="clear" w:color="DDEAF6" w:themeColor="accent5" w:themeTint="34" w:fill="DDEAF6" w:themeFill="accent5" w:themeFillTint="34"/>
      </w:tcPr>
    </w:tblStylePr>
    <w:tblStylePr w:type="band2Horz">
      <w:rPr>
        <w:rFonts w:ascii="Arial" w:hAnsi="Arial"/>
        <w:color w:val="245B8D"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12">
    <w:name w:val="Grid Table 7 Colorful - Accent 6"/>
    <w:basedOn w:val="32"/>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529" w:themeColor="accent6" w:themeShade="95"/>
        <w:sz w:val="22"/>
      </w:rPr>
      <w:tblPr/>
      <w:tcPr>
        <w:tcBorders>
          <w:top w:val="nil"/>
          <w:left w:val="nil"/>
          <w:bottom w:val="single" w:color="ADD394" w:themeColor="accent6" w:themeTint="90" w:sz="4" w:space="0"/>
          <w:right w:val="nil"/>
        </w:tcBorders>
        <w:shd w:val="clear" w:color="CCE8CF" w:themeColor="light1" w:fill="CCE8CF" w:themeFill="light1"/>
      </w:tcPr>
    </w:tblStylePr>
    <w:tblStylePr w:type="lastRow">
      <w:rPr>
        <w:rFonts w:ascii="Arial" w:hAnsi="Arial"/>
        <w:b/>
        <w:color w:val="416529" w:themeColor="accent6" w:themeShade="95"/>
        <w:sz w:val="22"/>
      </w:rPr>
      <w:tblPr/>
      <w:tcPr>
        <w:tcBorders>
          <w:top w:val="single" w:color="ADD394" w:themeColor="accent6" w:themeTint="90" w:sz="4" w:space="0"/>
          <w:left w:val="nil"/>
          <w:bottom w:val="nil"/>
          <w:right w:val="nil"/>
        </w:tcBorders>
        <w:shd w:val="clear" w:color="CCE8CF" w:themeColor="light1" w:fill="CCE8CF" w:themeFill="light1"/>
      </w:tcPr>
    </w:tblStylePr>
    <w:tblStylePr w:type="firstCol">
      <w:pPr>
        <w:jc w:val="right"/>
      </w:pPr>
      <w:rPr>
        <w:rFonts w:ascii="Arial" w:hAnsi="Arial"/>
        <w:i/>
        <w:color w:val="416529" w:themeColor="accent6" w:themeShade="95"/>
        <w:sz w:val="22"/>
      </w:rPr>
      <w:tbl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529" w:themeColor="accent6" w:themeShade="95"/>
        <w:sz w:val="22"/>
      </w:rPr>
      <w:tblPr/>
      <w:tcPr>
        <w:tcBorders>
          <w:top w:val="nil"/>
          <w:left w:val="single" w:color="ADD394" w:themeColor="accent6" w:themeTint="90" w:sz="4" w:space="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416529" w:themeColor="accent6" w:themeShade="95"/>
        <w:sz w:val="22"/>
      </w:rPr>
      <w:tblPr/>
      <w:tcPr>
        <w:shd w:val="clear" w:color="E1EFD8" w:themeColor="accent6" w:themeTint="34" w:fill="E1EFD8" w:themeFill="accent6" w:themeFillTint="34"/>
      </w:tcPr>
    </w:tblStylePr>
    <w:tblStylePr w:type="band2Horz">
      <w:rPr>
        <w:rFonts w:ascii="Arial" w:hAnsi="Arial"/>
        <w:color w:val="416529"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13">
    <w:name w:val="List Table 1 Light"/>
    <w:basedOn w:val="32"/>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1"/>
    <w:basedOn w:val="32"/>
    <w:uiPriority w:val="99"/>
    <w:pPr>
      <w:spacing w:after="0" w:line="240" w:lineRule="auto"/>
    </w:pPr>
    <w:tblPr/>
    <w:tblStylePr w:type="firstRow">
      <w:rPr>
        <w:b/>
        <w:color w:val="404040"/>
      </w:rPr>
      <w:tblPr/>
      <w:tcPr>
        <w:tcBorders>
          <w:top w:val="nil"/>
          <w:left w:val="nil"/>
          <w:bottom w:val="single" w:color="4472C4" w:themeColor="accent1" w:sz="4" w:space="0"/>
          <w:right w:val="nil"/>
        </w:tcBorders>
      </w:tcPr>
    </w:tblStylePr>
    <w:tblStylePr w:type="lastRow">
      <w:rPr>
        <w:b/>
        <w:color w:val="404040"/>
      </w:rPr>
      <w:tblPr/>
      <w:tcPr>
        <w:tcBorders>
          <w:top w:val="single" w:color="4472C4"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0DBF0" w:themeColor="accent1" w:themeTint="40" w:fill="D0DBF0" w:themeFill="accent1" w:themeFillTint="40"/>
      </w:tcPr>
    </w:tblStylePr>
    <w:tblStylePr w:type="band2Vert">
      <w:tblPr/>
    </w:tblStylePr>
    <w:tblStylePr w:type="band1Horz">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2"/>
    <w:basedOn w:val="32"/>
    <w:uiPriority w:val="99"/>
    <w:pPr>
      <w:spacing w:after="0" w:line="240" w:lineRule="auto"/>
    </w:pPr>
    <w:tblPr/>
    <w:tblStylePr w:type="firstRow">
      <w:rPr>
        <w:b/>
        <w:color w:val="404040"/>
      </w:rPr>
      <w:tblPr/>
      <w:tcPr>
        <w:tcBorders>
          <w:top w:val="nil"/>
          <w:left w:val="nil"/>
          <w:bottom w:val="single" w:color="ED7D31" w:themeColor="accent2" w:sz="4" w:space="0"/>
          <w:right w:val="nil"/>
        </w:tcBorders>
      </w:tcPr>
    </w:tblStylePr>
    <w:tblStylePr w:type="lastRow">
      <w:rPr>
        <w:b/>
        <w:color w:val="404040"/>
      </w:rPr>
      <w:tblPr/>
      <w:tcPr>
        <w:tcBorders>
          <w:top w:val="single" w:color="ED7D31"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ECB" w:themeColor="accent2" w:themeTint="40" w:fill="FADECB" w:themeFill="accent2" w:themeFillTint="40"/>
      </w:tcPr>
    </w:tblStylePr>
    <w:tblStylePr w:type="band2Vert">
      <w:tblPr/>
    </w:tblStylePr>
    <w:tblStylePr w:type="band1Horz">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3"/>
    <w:basedOn w:val="32"/>
    <w:uiPriority w:val="99"/>
    <w:pPr>
      <w:spacing w:after="0" w:line="240" w:lineRule="auto"/>
    </w:pPr>
    <w:tblPr/>
    <w:tblStylePr w:type="firstRow">
      <w:rPr>
        <w:b/>
        <w:color w:val="404040"/>
      </w:rPr>
      <w:tblPr/>
      <w:tcPr>
        <w:tcBorders>
          <w:top w:val="nil"/>
          <w:left w:val="nil"/>
          <w:bottom w:val="single" w:color="A5A5A5" w:themeColor="accent3" w:sz="4" w:space="0"/>
          <w:right w:val="nil"/>
        </w:tcBorders>
      </w:tcPr>
    </w:tblStylePr>
    <w:tblStylePr w:type="lastRow">
      <w:rPr>
        <w:b/>
        <w:color w:val="404040"/>
      </w:rPr>
      <w:tblPr/>
      <w:tcPr>
        <w:tcBorders>
          <w:top w:val="single" w:color="A5A5A5"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8E8E8" w:themeColor="accent3" w:themeTint="40" w:fill="E8E8E8" w:themeFill="accent3" w:themeFillTint="40"/>
      </w:tcPr>
    </w:tblStylePr>
    <w:tblStylePr w:type="band2Vert">
      <w:tblPr/>
    </w:tblStylePr>
    <w:tblStylePr w:type="band1Horz">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4"/>
    <w:basedOn w:val="32"/>
    <w:uiPriority w:val="99"/>
    <w:pPr>
      <w:spacing w:after="0" w:line="240" w:lineRule="auto"/>
    </w:pPr>
    <w:tblPr/>
    <w:tblStylePr w:type="firstRow">
      <w:rPr>
        <w:b/>
        <w:color w:val="404040"/>
      </w:rPr>
      <w:tblPr/>
      <w:tcPr>
        <w:tcBorders>
          <w:top w:val="nil"/>
          <w:left w:val="nil"/>
          <w:bottom w:val="single" w:color="FFC000" w:themeColor="accent4" w:sz="4" w:space="0"/>
          <w:right w:val="nil"/>
        </w:tcBorders>
      </w:tcPr>
    </w:tblStylePr>
    <w:tblStylePr w:type="lastRow">
      <w:rPr>
        <w:b/>
        <w:color w:val="404040"/>
      </w:rPr>
      <w:tblPr/>
      <w:tcPr>
        <w:tcBorders>
          <w:top w:val="single" w:color="FFC000"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FEFBE" w:themeColor="accent4" w:themeTint="40" w:fill="FFEFBE" w:themeFill="accent4" w:themeFillTint="40"/>
      </w:tcPr>
    </w:tblStylePr>
    <w:tblStylePr w:type="band2Vert">
      <w:tblPr/>
    </w:tblStylePr>
    <w:tblStylePr w:type="band1Horz">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1 Light - Accent 5"/>
    <w:basedOn w:val="32"/>
    <w:uiPriority w:val="99"/>
    <w:pPr>
      <w:spacing w:after="0" w:line="240" w:lineRule="auto"/>
    </w:pPr>
    <w:tblPr/>
    <w:tblStylePr w:type="firstRow">
      <w:rPr>
        <w:b/>
        <w:color w:val="404040"/>
      </w:rPr>
      <w:tblPr/>
      <w:tcPr>
        <w:tcBorders>
          <w:top w:val="nil"/>
          <w:left w:val="nil"/>
          <w:bottom w:val="single" w:color="5B9BD5" w:themeColor="accent5" w:sz="4" w:space="0"/>
          <w:right w:val="nil"/>
        </w:tcBorders>
      </w:tcPr>
    </w:tblStylePr>
    <w:tblStylePr w:type="lastRow">
      <w:rPr>
        <w:b/>
        <w:color w:val="404040"/>
      </w:rPr>
      <w:tblPr/>
      <w:tcPr>
        <w:tcBorders>
          <w:top w:val="single" w:color="5B9BD5"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5E5F4" w:themeColor="accent5" w:themeTint="40" w:fill="D5E5F4" w:themeFill="accent5" w:themeFillTint="40"/>
      </w:tcPr>
    </w:tblStylePr>
    <w:tblStylePr w:type="band2Vert">
      <w:tblPr/>
    </w:tblStylePr>
    <w:tblStylePr w:type="band1Horz">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1 Light - Accent 6"/>
    <w:basedOn w:val="32"/>
    <w:uiPriority w:val="99"/>
    <w:pPr>
      <w:spacing w:after="0" w:line="240" w:lineRule="auto"/>
    </w:pPr>
    <w:tblPr/>
    <w:tblStylePr w:type="firstRow">
      <w:rPr>
        <w:b/>
        <w:color w:val="404040"/>
      </w:rPr>
      <w:tblPr/>
      <w:tcPr>
        <w:tcBorders>
          <w:top w:val="nil"/>
          <w:left w:val="nil"/>
          <w:bottom w:val="single" w:color="70AD47" w:themeColor="accent6" w:sz="4" w:space="0"/>
          <w:right w:val="nil"/>
        </w:tcBorders>
      </w:tcPr>
    </w:tblStylePr>
    <w:tblStylePr w:type="lastRow">
      <w:rPr>
        <w:b/>
        <w:color w:val="404040"/>
      </w:rPr>
      <w:tblPr/>
      <w:tcPr>
        <w:tcBorders>
          <w:top w:val="single" w:color="70AD47"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AEBCF" w:themeColor="accent6" w:themeTint="40" w:fill="DAEBCF" w:themeFill="accent6" w:themeFillTint="40"/>
      </w:tcPr>
    </w:tblStylePr>
    <w:tblStylePr w:type="band2Vert">
      <w:tblPr/>
    </w:tblStylePr>
    <w:tblStylePr w:type="band1Horz">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w:basedOn w:val="3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1"/>
    <w:basedOn w:val="32"/>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bl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bl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0DBF0" w:themeColor="accent1" w:themeTint="40" w:fill="D0DBF0" w:themeFill="accent1" w:themeFillTint="40"/>
      </w:tcPr>
    </w:tblStylePr>
    <w:tblStylePr w:type="band2Vert">
      <w:tblPr/>
    </w:tblStylePr>
    <w:tblStylePr w:type="band1Horz">
      <w:rPr>
        <w:rFonts w:ascii="Arial" w:hAnsi="Arial"/>
        <w:color w:val="404040"/>
        <w:sz w:val="22"/>
      </w:rPr>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2"/>
    <w:basedOn w:val="32"/>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3"/>
    <w:basedOn w:val="32"/>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4"/>
    <w:basedOn w:val="32"/>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2 - Accent 5"/>
    <w:basedOn w:val="32"/>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bl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bl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5E5F4" w:themeColor="accent5" w:themeTint="40" w:fill="D5E5F4" w:themeFill="accent5" w:themeFillTint="40"/>
      </w:tcPr>
    </w:tblStylePr>
    <w:tblStylePr w:type="band2Vert">
      <w:tblPr/>
    </w:tblStylePr>
    <w:tblStylePr w:type="band1Horz">
      <w:rPr>
        <w:rFonts w:ascii="Arial" w:hAnsi="Arial"/>
        <w:color w:val="404040"/>
        <w:sz w:val="22"/>
      </w:rPr>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2 - Accent 6"/>
    <w:basedOn w:val="32"/>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w:basedOn w:val="3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1"/>
    <w:basedOn w:val="32"/>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472C4" w:themeColor="accent1" w:sz="4" w:space="0"/>
          <w:right w:val="single" w:color="4472C4" w:themeColor="accent1" w:sz="4" w:space="0"/>
        </w:tcBorders>
      </w:tcPr>
    </w:tblStylePr>
    <w:tblStylePr w:type="band2Vert">
      <w:tblPr/>
    </w:tblStylePr>
    <w:tblStylePr w:type="band1Horz">
      <w:rPr>
        <w:rFonts w:ascii="Arial" w:hAnsi="Arial"/>
        <w:color w:val="404040"/>
        <w:sz w:val="22"/>
      </w:rPr>
      <w:tblPr/>
      <w:tcPr>
        <w:tcBorders>
          <w:top w:val="single" w:color="4472C4" w:themeColor="accent1" w:sz="4" w:space="0"/>
          <w:bottom w:val="single" w:color="4472C4"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2"/>
    <w:basedOn w:val="32"/>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blPr/>
      <w:tcPr>
        <w:shd w:val="clear" w:color="F4B285" w:themeColor="accent2" w:themeTint="97" w:fill="F4B28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285" w:themeColor="accent2" w:themeTint="97" w:sz="4" w:space="0"/>
          <w:right w:val="single" w:color="F4B285" w:themeColor="accent2" w:themeTint="97" w:sz="4" w:space="0"/>
        </w:tcBorders>
      </w:tcPr>
    </w:tblStylePr>
    <w:tblStylePr w:type="band2Vert">
      <w:tblPr/>
    </w:tblStylePr>
    <w:tblStylePr w:type="band1Horz">
      <w:rPr>
        <w:rFonts w:ascii="Arial" w:hAnsi="Arial"/>
        <w:color w:val="404040"/>
        <w:sz w:val="22"/>
      </w:rPr>
      <w:tblPr/>
      <w:tcPr>
        <w:tcBorders>
          <w:top w:val="single" w:color="F4B285" w:themeColor="accent2" w:themeTint="97" w:sz="4" w:space="0"/>
          <w:bottom w:val="single" w:color="F4B28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3"/>
    <w:basedOn w:val="32"/>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2Vert">
      <w:tbl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4"/>
    <w:basedOn w:val="32"/>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blPr/>
      <w:tcPr>
        <w:shd w:val="clear" w:color="FFD864" w:themeColor="accent4" w:themeTint="9A" w:fill="FFD864"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FD864" w:themeColor="accent4" w:themeTint="9A" w:sz="4" w:space="0"/>
          <w:right w:val="single" w:color="FFD864" w:themeColor="accent4" w:themeTint="9A" w:sz="4" w:space="0"/>
        </w:tcBorders>
      </w:tcPr>
    </w:tblStylePr>
    <w:tblStylePr w:type="band2Vert">
      <w:tblPr/>
    </w:tblStylePr>
    <w:tblStylePr w:type="band1Horz">
      <w:rPr>
        <w:rFonts w:ascii="Arial" w:hAnsi="Arial"/>
        <w:color w:val="404040"/>
        <w:sz w:val="22"/>
      </w:rPr>
      <w:tblPr/>
      <w:tcPr>
        <w:tcBorders>
          <w:top w:val="single" w:color="FFD864" w:themeColor="accent4" w:themeTint="9A" w:sz="4" w:space="0"/>
          <w:bottom w:val="single" w:color="FFD864"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3 - Accent 5"/>
    <w:basedOn w:val="32"/>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BC2E5" w:themeColor="accent5" w:themeTint="9A" w:sz="4" w:space="0"/>
          <w:right w:val="single" w:color="9BC2E5" w:themeColor="accent5" w:themeTint="9A" w:sz="4" w:space="0"/>
        </w:tcBorders>
      </w:tcPr>
    </w:tblStylePr>
    <w:tblStylePr w:type="band2Vert">
      <w:tblPr/>
    </w:tblStylePr>
    <w:tblStylePr w:type="band1Horz">
      <w:rPr>
        <w:rFonts w:ascii="Arial" w:hAnsi="Arial"/>
        <w:color w:val="404040"/>
        <w:sz w:val="22"/>
      </w:rPr>
      <w:tblPr/>
      <w:tcPr>
        <w:tcBorders>
          <w:top w:val="single" w:color="9BC2E5" w:themeColor="accent5" w:themeTint="9A" w:sz="4" w:space="0"/>
          <w:bottom w:val="single" w:color="9BC2E5"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3 - Accent 6"/>
    <w:basedOn w:val="32"/>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2Vert">
      <w:tbl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w:basedOn w:val="3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1"/>
    <w:basedOn w:val="32"/>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0DBF0" w:themeColor="accent1" w:themeTint="40" w:fill="D0DBF0" w:themeFill="accent1" w:themeFillTint="40"/>
      </w:tcPr>
    </w:tblStylePr>
    <w:tblStylePr w:type="band2Vert">
      <w:tblPr/>
    </w:tblStylePr>
    <w:tblStylePr w:type="band1Horz">
      <w:rPr>
        <w:rFonts w:ascii="Arial" w:hAnsi="Arial"/>
        <w:color w:val="404040"/>
        <w:sz w:val="22"/>
      </w:rPr>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2"/>
    <w:basedOn w:val="32"/>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3"/>
    <w:basedOn w:val="32"/>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4"/>
    <w:basedOn w:val="32"/>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4 - Accent 5"/>
    <w:basedOn w:val="32"/>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5E5F4" w:themeColor="accent5" w:themeTint="40" w:fill="D5E5F4" w:themeFill="accent5" w:themeFillTint="40"/>
      </w:tcPr>
    </w:tblStylePr>
    <w:tblStylePr w:type="band2Vert">
      <w:tblPr/>
    </w:tblStylePr>
    <w:tblStylePr w:type="band1Horz">
      <w:rPr>
        <w:rFonts w:ascii="Arial" w:hAnsi="Arial"/>
        <w:color w:val="404040"/>
        <w:sz w:val="22"/>
      </w:rPr>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0">
    <w:name w:val="List Table 4 - Accent 6"/>
    <w:basedOn w:val="32"/>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1">
    <w:name w:val="List Table 5 Dark"/>
    <w:basedOn w:val="3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CCE8CF" w:themeColor="light1"/>
        <w:sz w:val="22"/>
      </w:rPr>
      <w:tblPr/>
      <w:tcPr>
        <w:tcBorders>
          <w:top w:val="single" w:color="7E7E7E" w:themeColor="text1" w:themeTint="80" w:sz="32" w:space="0"/>
          <w:bottom w:val="single" w:color="CCE8CF" w:themeColor="light1" w:sz="12" w:space="0"/>
        </w:tcBorders>
        <w:shd w:val="clear" w:color="7E7E7E" w:themeColor="text1" w:themeTint="80" w:fill="7E7E7E" w:themeFill="text1" w:themeFillTint="80"/>
      </w:tcPr>
    </w:tblStylePr>
    <w:tblStylePr w:type="lastRow">
      <w:rPr>
        <w:rFonts w:ascii="Arial" w:hAnsi="Arial"/>
        <w:b/>
        <w:color w:val="CCE8CF" w:themeColor="light1"/>
        <w:sz w:val="22"/>
      </w:rPr>
      <w:tblPr/>
    </w:tblStylePr>
    <w:tblStylePr w:type="firstCol">
      <w:rPr>
        <w:rFonts w:ascii="Arial" w:hAnsi="Arial"/>
        <w:b/>
        <w:color w:val="CCE8CF" w:themeColor="light1"/>
        <w:sz w:val="22"/>
      </w:rPr>
      <w:tblPr/>
      <w:tcPr>
        <w:tcBorders>
          <w:left w:val="single" w:color="7E7E7E" w:themeColor="text1" w:themeTint="80" w:sz="32" w:space="0"/>
          <w:right w:val="single" w:color="CCE8CF" w:themeColor="light1" w:sz="4" w:space="0"/>
        </w:tcBorders>
      </w:tcPr>
    </w:tblStylePr>
    <w:tblStylePr w:type="lastCol">
      <w:tblPr/>
      <w:tcPr>
        <w:tcBorders>
          <w:left w:val="single" w:color="CCE8CF" w:themeColor="light1" w:sz="4" w:space="0"/>
          <w:right w:val="single" w:color="7E7E7E" w:themeColor="text1" w:themeTint="80" w:sz="32" w:space="0"/>
        </w:tcBorders>
      </w:tcPr>
    </w:tblStylePr>
    <w:tblStylePr w:type="band1Vert">
      <w:tblPr/>
      <w:tcPr>
        <w:tcBorders>
          <w:left w:val="single" w:color="CCE8CF" w:themeColor="light1" w:sz="4" w:space="0"/>
          <w:right w:val="single" w:color="CCE8CF" w:themeColor="light1" w:sz="4" w:space="0"/>
        </w:tcBorders>
        <w:shd w:val="clear" w:color="7E7E7E" w:themeColor="text1" w:themeTint="80" w:fill="7E7E7E" w:themeFill="text1" w:themeFillTint="80"/>
      </w:tcPr>
    </w:tblStylePr>
    <w:tblStylePr w:type="band2Vert">
      <w:tblPr/>
      <w:tcPr>
        <w:tcBorders>
          <w:left w:val="single" w:color="CCE8CF" w:themeColor="light1" w:sz="4" w:space="0"/>
          <w:right w:val="single" w:color="CCE8CF" w:themeColor="light1" w:sz="4" w:space="0"/>
        </w:tcBorders>
      </w:tcPr>
    </w:tblStylePr>
    <w:tblStylePr w:type="band1Horz">
      <w:tblPr/>
      <w:tcPr>
        <w:tcBorders>
          <w:top w:val="single" w:color="CCE8CF" w:themeColor="light1" w:sz="4" w:space="0"/>
          <w:bottom w:val="single" w:color="CCE8CF" w:themeColor="light1" w:sz="4" w:space="0"/>
        </w:tcBorders>
        <w:shd w:val="clear" w:color="7E7E7E" w:themeColor="text1" w:themeTint="80" w:fill="7E7E7E" w:themeFill="text1" w:themeFillTint="80"/>
      </w:tcPr>
    </w:tblStylePr>
    <w:tblStylePr w:type="band2Horz">
      <w:tblPr/>
      <w:tcPr>
        <w:tcBorders>
          <w:top w:val="single" w:color="CCE8CF" w:themeColor="light1" w:sz="4" w:space="0"/>
          <w:bottom w:val="single" w:color="CCE8C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2">
    <w:name w:val="List Table 5 Dark - Accent 1"/>
    <w:basedOn w:val="32"/>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CCE8CF" w:themeColor="light1"/>
        <w:sz w:val="22"/>
      </w:rPr>
      <w:tblPr/>
      <w:tcPr>
        <w:tcBorders>
          <w:top w:val="single" w:color="4472C4" w:themeColor="accent1" w:sz="32" w:space="0"/>
          <w:bottom w:val="single" w:color="CCE8CF" w:themeColor="light1" w:sz="12" w:space="0"/>
        </w:tcBorders>
        <w:shd w:val="clear" w:color="4472C4" w:themeColor="accent1" w:fill="4472C4" w:themeFill="accent1"/>
      </w:tcPr>
    </w:tblStylePr>
    <w:tblStylePr w:type="lastRow">
      <w:rPr>
        <w:rFonts w:ascii="Arial" w:hAnsi="Arial"/>
        <w:b/>
        <w:color w:val="CCE8CF" w:themeColor="light1"/>
        <w:sz w:val="22"/>
      </w:rPr>
      <w:tblPr/>
    </w:tblStylePr>
    <w:tblStylePr w:type="firstCol">
      <w:rPr>
        <w:rFonts w:ascii="Arial" w:hAnsi="Arial"/>
        <w:b/>
        <w:color w:val="CCE8CF" w:themeColor="light1"/>
        <w:sz w:val="22"/>
      </w:rPr>
      <w:tblPr/>
      <w:tcPr>
        <w:tcBorders>
          <w:left w:val="single" w:color="4472C4" w:themeColor="accent1" w:sz="32" w:space="0"/>
          <w:right w:val="single" w:color="CCE8CF" w:themeColor="light1" w:sz="4" w:space="0"/>
        </w:tcBorders>
      </w:tcPr>
    </w:tblStylePr>
    <w:tblStylePr w:type="lastCol">
      <w:tblPr/>
      <w:tcPr>
        <w:tcBorders>
          <w:left w:val="single" w:color="CCE8CF" w:themeColor="light1" w:sz="4" w:space="0"/>
          <w:right w:val="single" w:color="4472C4" w:themeColor="accent1" w:sz="32" w:space="0"/>
        </w:tcBorders>
      </w:tcPr>
    </w:tblStylePr>
    <w:tblStylePr w:type="band1Vert">
      <w:tblPr/>
      <w:tcPr>
        <w:tcBorders>
          <w:left w:val="single" w:color="CCE8CF" w:themeColor="light1" w:sz="4" w:space="0"/>
          <w:right w:val="single" w:color="CCE8CF" w:themeColor="light1" w:sz="4" w:space="0"/>
        </w:tcBorders>
        <w:shd w:val="clear" w:color="4472C4" w:themeColor="accent1" w:fill="4472C4" w:themeFill="accent1"/>
      </w:tcPr>
    </w:tblStylePr>
    <w:tblStylePr w:type="band2Vert">
      <w:tblPr/>
      <w:tcPr>
        <w:tcBorders>
          <w:left w:val="single" w:color="CCE8CF" w:themeColor="light1" w:sz="4" w:space="0"/>
          <w:right w:val="single" w:color="CCE8CF" w:themeColor="light1" w:sz="4" w:space="0"/>
        </w:tcBorders>
      </w:tcPr>
    </w:tblStylePr>
    <w:tblStylePr w:type="band1Horz">
      <w:tblPr/>
      <w:tcPr>
        <w:tcBorders>
          <w:top w:val="single" w:color="CCE8CF" w:themeColor="light1" w:sz="4" w:space="0"/>
          <w:bottom w:val="single" w:color="CCE8CF" w:themeColor="light1" w:sz="4" w:space="0"/>
        </w:tcBorders>
        <w:shd w:val="clear" w:color="4472C4" w:themeColor="accent1" w:fill="4472C4" w:themeFill="accent1"/>
      </w:tcPr>
    </w:tblStylePr>
    <w:tblStylePr w:type="band2Horz">
      <w:tblPr/>
      <w:tcPr>
        <w:tcBorders>
          <w:top w:val="single" w:color="CCE8CF" w:themeColor="light1" w:sz="4" w:space="0"/>
          <w:bottom w:val="single" w:color="CCE8CF" w:themeColor="light1" w:sz="4" w:space="0"/>
        </w:tcBorders>
        <w:shd w:val="clear" w:color="4472C4" w:themeColor="accent1" w:fill="4472C4" w:themeFill="accent1"/>
      </w:tcPr>
    </w:tblStylePr>
    <w:tblStylePr w:type="neCell">
      <w:tblPr/>
    </w:tblStylePr>
    <w:tblStylePr w:type="nwCell">
      <w:tblPr/>
    </w:tblStylePr>
    <w:tblStylePr w:type="seCell">
      <w:tblPr/>
    </w:tblStylePr>
    <w:tblStylePr w:type="swCell">
      <w:tblPr/>
    </w:tblStylePr>
  </w:style>
  <w:style w:type="table" w:customStyle="1" w:styleId="143">
    <w:name w:val="List Table 5 Dark - Accent 2"/>
    <w:basedOn w:val="32"/>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CCE8CF" w:themeColor="light1"/>
        <w:sz w:val="22"/>
      </w:rPr>
      <w:tblPr/>
      <w:tcPr>
        <w:tcBorders>
          <w:top w:val="single" w:color="F4B285" w:themeColor="accent2" w:themeTint="97" w:sz="32" w:space="0"/>
          <w:bottom w:val="single" w:color="CCE8CF" w:themeColor="light1" w:sz="12" w:space="0"/>
        </w:tcBorders>
        <w:shd w:val="clear" w:color="F4B285" w:themeColor="accent2" w:themeTint="97" w:fill="F4B285" w:themeFill="accent2" w:themeFillTint="97"/>
      </w:tcPr>
    </w:tblStylePr>
    <w:tblStylePr w:type="lastRow">
      <w:rPr>
        <w:rFonts w:ascii="Arial" w:hAnsi="Arial"/>
        <w:b/>
        <w:color w:val="CCE8CF" w:themeColor="light1"/>
        <w:sz w:val="22"/>
      </w:rPr>
      <w:tblPr/>
    </w:tblStylePr>
    <w:tblStylePr w:type="firstCol">
      <w:rPr>
        <w:rFonts w:ascii="Arial" w:hAnsi="Arial"/>
        <w:b/>
        <w:color w:val="CCE8CF" w:themeColor="light1"/>
        <w:sz w:val="22"/>
      </w:rPr>
      <w:tblPr/>
      <w:tcPr>
        <w:tcBorders>
          <w:left w:val="single" w:color="F4B285" w:themeColor="accent2" w:themeTint="97" w:sz="32" w:space="0"/>
          <w:right w:val="single" w:color="CCE8CF" w:themeColor="light1" w:sz="4" w:space="0"/>
        </w:tcBorders>
      </w:tcPr>
    </w:tblStylePr>
    <w:tblStylePr w:type="lastCol">
      <w:tblPr/>
      <w:tcPr>
        <w:tcBorders>
          <w:left w:val="single" w:color="CCE8CF" w:themeColor="light1" w:sz="4" w:space="0"/>
          <w:right w:val="single" w:color="F4B285" w:themeColor="accent2" w:themeTint="97" w:sz="32" w:space="0"/>
        </w:tcBorders>
      </w:tcPr>
    </w:tblStylePr>
    <w:tblStylePr w:type="band1Vert">
      <w:tblPr/>
      <w:tcPr>
        <w:tcBorders>
          <w:left w:val="single" w:color="CCE8CF" w:themeColor="light1" w:sz="4" w:space="0"/>
          <w:right w:val="single" w:color="CCE8CF" w:themeColor="light1" w:sz="4" w:space="0"/>
        </w:tcBorders>
        <w:shd w:val="clear" w:color="F4B285" w:themeColor="accent2" w:themeTint="97" w:fill="F4B285" w:themeFill="accent2" w:themeFillTint="97"/>
      </w:tcPr>
    </w:tblStylePr>
    <w:tblStylePr w:type="band2Vert">
      <w:tblPr/>
      <w:tcPr>
        <w:tcBorders>
          <w:left w:val="single" w:color="CCE8CF" w:themeColor="light1" w:sz="4" w:space="0"/>
          <w:right w:val="single" w:color="CCE8CF" w:themeColor="light1" w:sz="4" w:space="0"/>
        </w:tcBorders>
      </w:tcPr>
    </w:tblStylePr>
    <w:tblStylePr w:type="band1Horz">
      <w:tblPr/>
      <w:tcPr>
        <w:tcBorders>
          <w:top w:val="single" w:color="CCE8CF" w:themeColor="light1" w:sz="4" w:space="0"/>
          <w:bottom w:val="single" w:color="CCE8CF" w:themeColor="light1" w:sz="4" w:space="0"/>
        </w:tcBorders>
        <w:shd w:val="clear" w:color="F4B285" w:themeColor="accent2" w:themeTint="97" w:fill="F4B285" w:themeFill="accent2" w:themeFillTint="97"/>
      </w:tcPr>
    </w:tblStylePr>
    <w:tblStylePr w:type="band2Horz">
      <w:tblPr/>
      <w:tcPr>
        <w:tcBorders>
          <w:top w:val="single" w:color="CCE8CF" w:themeColor="light1" w:sz="4" w:space="0"/>
          <w:bottom w:val="single" w:color="CCE8CF" w:themeColor="light1" w:sz="4" w:space="0"/>
        </w:tcBorders>
        <w:shd w:val="clear" w:color="F4B285" w:themeColor="accent2" w:themeTint="97" w:fill="F4B285" w:themeFill="accent2" w:themeFillTint="97"/>
      </w:tcPr>
    </w:tblStylePr>
    <w:tblStylePr w:type="neCell">
      <w:tblPr/>
    </w:tblStylePr>
    <w:tblStylePr w:type="nwCell">
      <w:tblPr/>
    </w:tblStylePr>
    <w:tblStylePr w:type="seCell">
      <w:tblPr/>
    </w:tblStylePr>
    <w:tblStylePr w:type="swCell">
      <w:tblPr/>
    </w:tblStylePr>
  </w:style>
  <w:style w:type="table" w:customStyle="1" w:styleId="144">
    <w:name w:val="List Table 5 Dark - Accent 3"/>
    <w:basedOn w:val="32"/>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CCE8CF" w:themeColor="light1"/>
        <w:sz w:val="22"/>
      </w:rPr>
      <w:tblPr/>
      <w:tcPr>
        <w:tcBorders>
          <w:top w:val="single" w:color="C9C9C9" w:themeColor="accent3" w:themeTint="98" w:sz="32" w:space="0"/>
          <w:bottom w:val="single" w:color="CCE8CF" w:themeColor="light1" w:sz="12" w:space="0"/>
        </w:tcBorders>
        <w:shd w:val="clear" w:color="C9C9C9" w:themeColor="accent3" w:themeTint="98" w:fill="C9C9C9" w:themeFill="accent3" w:themeFillTint="98"/>
      </w:tcPr>
    </w:tblStylePr>
    <w:tblStylePr w:type="lastRow">
      <w:rPr>
        <w:rFonts w:ascii="Arial" w:hAnsi="Arial"/>
        <w:b/>
        <w:color w:val="CCE8CF" w:themeColor="light1"/>
        <w:sz w:val="22"/>
      </w:rPr>
      <w:tblPr/>
    </w:tblStylePr>
    <w:tblStylePr w:type="firstCol">
      <w:rPr>
        <w:rFonts w:ascii="Arial" w:hAnsi="Arial"/>
        <w:b/>
        <w:color w:val="CCE8CF" w:themeColor="light1"/>
        <w:sz w:val="22"/>
      </w:rPr>
      <w:tblPr/>
      <w:tcPr>
        <w:tcBorders>
          <w:left w:val="single" w:color="C9C9C9" w:themeColor="accent3" w:themeTint="98" w:sz="32" w:space="0"/>
          <w:right w:val="single" w:color="CCE8CF" w:themeColor="light1" w:sz="4" w:space="0"/>
        </w:tcBorders>
      </w:tcPr>
    </w:tblStylePr>
    <w:tblStylePr w:type="lastCol">
      <w:tblPr/>
      <w:tcPr>
        <w:tcBorders>
          <w:left w:val="single" w:color="CCE8CF" w:themeColor="light1" w:sz="4" w:space="0"/>
          <w:right w:val="single" w:color="C9C9C9" w:themeColor="accent3" w:themeTint="98" w:sz="32" w:space="0"/>
        </w:tcBorders>
      </w:tcPr>
    </w:tblStylePr>
    <w:tblStylePr w:type="band1Vert">
      <w:tblPr/>
      <w:tcPr>
        <w:tcBorders>
          <w:left w:val="single" w:color="CCE8CF" w:themeColor="light1" w:sz="4" w:space="0"/>
          <w:right w:val="single" w:color="CCE8CF" w:themeColor="light1" w:sz="4" w:space="0"/>
        </w:tcBorders>
        <w:shd w:val="clear" w:color="C9C9C9" w:themeColor="accent3" w:themeTint="98" w:fill="C9C9C9" w:themeFill="accent3" w:themeFillTint="98"/>
      </w:tcPr>
    </w:tblStylePr>
    <w:tblStylePr w:type="band2Vert">
      <w:tblPr/>
      <w:tcPr>
        <w:tcBorders>
          <w:left w:val="single" w:color="CCE8CF" w:themeColor="light1" w:sz="4" w:space="0"/>
          <w:right w:val="single" w:color="CCE8CF" w:themeColor="light1" w:sz="4" w:space="0"/>
        </w:tcBorders>
      </w:tcPr>
    </w:tblStylePr>
    <w:tblStylePr w:type="band1Horz">
      <w:tblPr/>
      <w:tcPr>
        <w:tcBorders>
          <w:top w:val="single" w:color="CCE8CF" w:themeColor="light1" w:sz="4" w:space="0"/>
          <w:bottom w:val="single" w:color="CCE8CF" w:themeColor="light1" w:sz="4" w:space="0"/>
        </w:tcBorders>
        <w:shd w:val="clear" w:color="C9C9C9" w:themeColor="accent3" w:themeTint="98" w:fill="C9C9C9" w:themeFill="accent3" w:themeFillTint="98"/>
      </w:tcPr>
    </w:tblStylePr>
    <w:tblStylePr w:type="band2Horz">
      <w:tblPr/>
      <w:tcPr>
        <w:tcBorders>
          <w:top w:val="single" w:color="CCE8CF" w:themeColor="light1" w:sz="4" w:space="0"/>
          <w:bottom w:val="single" w:color="CCE8CF" w:themeColor="light1" w:sz="4" w:space="0"/>
        </w:tcBorders>
        <w:shd w:val="clear" w:color="C9C9C9" w:themeColor="accent3" w:themeTint="98" w:fill="C9C9C9" w:themeFill="accent3" w:themeFillTint="98"/>
      </w:tcPr>
    </w:tblStylePr>
    <w:tblStylePr w:type="neCell">
      <w:tblPr/>
    </w:tblStylePr>
    <w:tblStylePr w:type="nwCell">
      <w:tblPr/>
    </w:tblStylePr>
    <w:tblStylePr w:type="seCell">
      <w:tblPr/>
    </w:tblStylePr>
    <w:tblStylePr w:type="swCell">
      <w:tblPr/>
    </w:tblStylePr>
  </w:style>
  <w:style w:type="table" w:customStyle="1" w:styleId="145">
    <w:name w:val="List Table 5 Dark - Accent 4"/>
    <w:basedOn w:val="32"/>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CCE8CF" w:themeColor="light1"/>
        <w:sz w:val="22"/>
      </w:rPr>
      <w:tblPr/>
      <w:tcPr>
        <w:tcBorders>
          <w:top w:val="single" w:color="FFD864" w:themeColor="accent4" w:themeTint="9A" w:sz="32" w:space="0"/>
          <w:bottom w:val="single" w:color="CCE8CF" w:themeColor="light1" w:sz="12" w:space="0"/>
        </w:tcBorders>
        <w:shd w:val="clear" w:color="FFD864" w:themeColor="accent4" w:themeTint="9A" w:fill="FFD864" w:themeFill="accent4" w:themeFillTint="9A"/>
      </w:tcPr>
    </w:tblStylePr>
    <w:tblStylePr w:type="lastRow">
      <w:rPr>
        <w:rFonts w:ascii="Arial" w:hAnsi="Arial"/>
        <w:b/>
        <w:color w:val="CCE8CF" w:themeColor="light1"/>
        <w:sz w:val="22"/>
      </w:rPr>
      <w:tblPr/>
    </w:tblStylePr>
    <w:tblStylePr w:type="firstCol">
      <w:rPr>
        <w:rFonts w:ascii="Arial" w:hAnsi="Arial"/>
        <w:b/>
        <w:color w:val="CCE8CF" w:themeColor="light1"/>
        <w:sz w:val="22"/>
      </w:rPr>
      <w:tblPr/>
      <w:tcPr>
        <w:tcBorders>
          <w:left w:val="single" w:color="FFD864" w:themeColor="accent4" w:themeTint="9A" w:sz="32" w:space="0"/>
          <w:right w:val="single" w:color="CCE8CF" w:themeColor="light1" w:sz="4" w:space="0"/>
        </w:tcBorders>
      </w:tcPr>
    </w:tblStylePr>
    <w:tblStylePr w:type="lastCol">
      <w:tblPr/>
      <w:tcPr>
        <w:tcBorders>
          <w:left w:val="single" w:color="CCE8CF" w:themeColor="light1" w:sz="4" w:space="0"/>
          <w:right w:val="single" w:color="FFD864" w:themeColor="accent4" w:themeTint="9A" w:sz="32" w:space="0"/>
        </w:tcBorders>
      </w:tcPr>
    </w:tblStylePr>
    <w:tblStylePr w:type="band1Vert">
      <w:tblPr/>
      <w:tcPr>
        <w:tcBorders>
          <w:left w:val="single" w:color="CCE8CF" w:themeColor="light1" w:sz="4" w:space="0"/>
          <w:right w:val="single" w:color="CCE8CF" w:themeColor="light1" w:sz="4" w:space="0"/>
        </w:tcBorders>
        <w:shd w:val="clear" w:color="FFD864" w:themeColor="accent4" w:themeTint="9A" w:fill="FFD864" w:themeFill="accent4" w:themeFillTint="9A"/>
      </w:tcPr>
    </w:tblStylePr>
    <w:tblStylePr w:type="band2Vert">
      <w:tblPr/>
      <w:tcPr>
        <w:tcBorders>
          <w:left w:val="single" w:color="CCE8CF" w:themeColor="light1" w:sz="4" w:space="0"/>
          <w:right w:val="single" w:color="CCE8CF" w:themeColor="light1" w:sz="4" w:space="0"/>
        </w:tcBorders>
      </w:tcPr>
    </w:tblStylePr>
    <w:tblStylePr w:type="band1Horz">
      <w:tblPr/>
      <w:tcPr>
        <w:tcBorders>
          <w:top w:val="single" w:color="CCE8CF" w:themeColor="light1" w:sz="4" w:space="0"/>
          <w:bottom w:val="single" w:color="CCE8CF" w:themeColor="light1" w:sz="4" w:space="0"/>
        </w:tcBorders>
        <w:shd w:val="clear" w:color="FFD864" w:themeColor="accent4" w:themeTint="9A" w:fill="FFD864" w:themeFill="accent4" w:themeFillTint="9A"/>
      </w:tcPr>
    </w:tblStylePr>
    <w:tblStylePr w:type="band2Horz">
      <w:tblPr/>
      <w:tcPr>
        <w:tcBorders>
          <w:top w:val="single" w:color="CCE8CF" w:themeColor="light1" w:sz="4" w:space="0"/>
          <w:bottom w:val="single" w:color="CCE8CF" w:themeColor="light1" w:sz="4" w:space="0"/>
        </w:tcBorders>
        <w:shd w:val="clear" w:color="FFD864" w:themeColor="accent4" w:themeTint="9A" w:fill="FFD864" w:themeFill="accent4" w:themeFillTint="9A"/>
      </w:tcPr>
    </w:tblStylePr>
    <w:tblStylePr w:type="neCell">
      <w:tblPr/>
    </w:tblStylePr>
    <w:tblStylePr w:type="nwCell">
      <w:tblPr/>
    </w:tblStylePr>
    <w:tblStylePr w:type="seCell">
      <w:tblPr/>
    </w:tblStylePr>
    <w:tblStylePr w:type="swCell">
      <w:tblPr/>
    </w:tblStylePr>
  </w:style>
  <w:style w:type="table" w:customStyle="1" w:styleId="146">
    <w:name w:val="List Table 5 Dark - Accent 5"/>
    <w:basedOn w:val="32"/>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CCE8CF" w:themeColor="light1"/>
        <w:sz w:val="22"/>
      </w:rPr>
      <w:tblPr/>
      <w:tcPr>
        <w:tcBorders>
          <w:top w:val="single" w:color="9BC2E5" w:themeColor="accent5" w:themeTint="9A" w:sz="32" w:space="0"/>
          <w:bottom w:val="single" w:color="CCE8CF" w:themeColor="light1" w:sz="12" w:space="0"/>
        </w:tcBorders>
        <w:shd w:val="clear" w:color="9BC2E5" w:themeColor="accent5" w:themeTint="9A" w:fill="9BC2E5" w:themeFill="accent5" w:themeFillTint="9A"/>
      </w:tcPr>
    </w:tblStylePr>
    <w:tblStylePr w:type="lastRow">
      <w:rPr>
        <w:rFonts w:ascii="Arial" w:hAnsi="Arial"/>
        <w:b/>
        <w:color w:val="CCE8CF" w:themeColor="light1"/>
        <w:sz w:val="22"/>
      </w:rPr>
      <w:tblPr/>
    </w:tblStylePr>
    <w:tblStylePr w:type="firstCol">
      <w:rPr>
        <w:rFonts w:ascii="Arial" w:hAnsi="Arial"/>
        <w:b/>
        <w:color w:val="CCE8CF" w:themeColor="light1"/>
        <w:sz w:val="22"/>
      </w:rPr>
      <w:tblPr/>
      <w:tcPr>
        <w:tcBorders>
          <w:left w:val="single" w:color="9BC2E5" w:themeColor="accent5" w:themeTint="9A" w:sz="32" w:space="0"/>
          <w:right w:val="single" w:color="CCE8CF" w:themeColor="light1" w:sz="4" w:space="0"/>
        </w:tcBorders>
      </w:tcPr>
    </w:tblStylePr>
    <w:tblStylePr w:type="lastCol">
      <w:tblPr/>
      <w:tcPr>
        <w:tcBorders>
          <w:left w:val="single" w:color="CCE8CF" w:themeColor="light1" w:sz="4" w:space="0"/>
          <w:right w:val="single" w:color="9BC2E5" w:themeColor="accent5" w:themeTint="9A" w:sz="32" w:space="0"/>
        </w:tcBorders>
      </w:tcPr>
    </w:tblStylePr>
    <w:tblStylePr w:type="band1Vert">
      <w:tblPr/>
      <w:tcPr>
        <w:tcBorders>
          <w:left w:val="single" w:color="CCE8CF" w:themeColor="light1" w:sz="4" w:space="0"/>
          <w:right w:val="single" w:color="CCE8CF" w:themeColor="light1" w:sz="4" w:space="0"/>
        </w:tcBorders>
        <w:shd w:val="clear" w:color="9BC2E5" w:themeColor="accent5" w:themeTint="9A" w:fill="9BC2E5" w:themeFill="accent5" w:themeFillTint="9A"/>
      </w:tcPr>
    </w:tblStylePr>
    <w:tblStylePr w:type="band2Vert">
      <w:tblPr/>
      <w:tcPr>
        <w:tcBorders>
          <w:left w:val="single" w:color="CCE8CF" w:themeColor="light1" w:sz="4" w:space="0"/>
          <w:right w:val="single" w:color="CCE8CF" w:themeColor="light1" w:sz="4" w:space="0"/>
        </w:tcBorders>
      </w:tcPr>
    </w:tblStylePr>
    <w:tblStylePr w:type="band1Horz">
      <w:tblPr/>
      <w:tcPr>
        <w:tcBorders>
          <w:top w:val="single" w:color="CCE8CF" w:themeColor="light1" w:sz="4" w:space="0"/>
          <w:bottom w:val="single" w:color="CCE8CF" w:themeColor="light1" w:sz="4" w:space="0"/>
        </w:tcBorders>
        <w:shd w:val="clear" w:color="9BC2E5" w:themeColor="accent5" w:themeTint="9A" w:fill="9BC2E5" w:themeFill="accent5" w:themeFillTint="9A"/>
      </w:tcPr>
    </w:tblStylePr>
    <w:tblStylePr w:type="band2Horz">
      <w:tblPr/>
      <w:tcPr>
        <w:tcBorders>
          <w:top w:val="single" w:color="CCE8CF" w:themeColor="light1" w:sz="4" w:space="0"/>
          <w:bottom w:val="single" w:color="CCE8CF" w:themeColor="light1" w:sz="4" w:space="0"/>
        </w:tcBorders>
        <w:shd w:val="clear" w:color="9BC2E5" w:themeColor="accent5" w:themeTint="9A" w:fill="9BC2E5" w:themeFill="accent5" w:themeFillTint="9A"/>
      </w:tcPr>
    </w:tblStylePr>
    <w:tblStylePr w:type="neCell">
      <w:tblPr/>
    </w:tblStylePr>
    <w:tblStylePr w:type="nwCell">
      <w:tblPr/>
    </w:tblStylePr>
    <w:tblStylePr w:type="seCell">
      <w:tblPr/>
    </w:tblStylePr>
    <w:tblStylePr w:type="swCell">
      <w:tblPr/>
    </w:tblStylePr>
  </w:style>
  <w:style w:type="table" w:customStyle="1" w:styleId="147">
    <w:name w:val="List Table 5 Dark - Accent 6"/>
    <w:basedOn w:val="32"/>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CCE8CF" w:themeColor="light1"/>
        <w:sz w:val="22"/>
      </w:rPr>
      <w:tblPr/>
      <w:tcPr>
        <w:tcBorders>
          <w:top w:val="single" w:color="A9D08E" w:themeColor="accent6" w:themeTint="98" w:sz="32" w:space="0"/>
          <w:bottom w:val="single" w:color="CCE8CF" w:themeColor="light1" w:sz="12" w:space="0"/>
        </w:tcBorders>
        <w:shd w:val="clear" w:color="A9D08E" w:themeColor="accent6" w:themeTint="98" w:fill="A9D08E" w:themeFill="accent6" w:themeFillTint="98"/>
      </w:tcPr>
    </w:tblStylePr>
    <w:tblStylePr w:type="lastRow">
      <w:rPr>
        <w:rFonts w:ascii="Arial" w:hAnsi="Arial"/>
        <w:b/>
        <w:color w:val="CCE8CF" w:themeColor="light1"/>
        <w:sz w:val="22"/>
      </w:rPr>
      <w:tblPr/>
    </w:tblStylePr>
    <w:tblStylePr w:type="firstCol">
      <w:rPr>
        <w:rFonts w:ascii="Arial" w:hAnsi="Arial"/>
        <w:b/>
        <w:color w:val="CCE8CF" w:themeColor="light1"/>
        <w:sz w:val="22"/>
      </w:rPr>
      <w:tblPr/>
      <w:tcPr>
        <w:tcBorders>
          <w:left w:val="single" w:color="A9D08E" w:themeColor="accent6" w:themeTint="98" w:sz="32" w:space="0"/>
          <w:right w:val="single" w:color="CCE8CF" w:themeColor="light1" w:sz="4" w:space="0"/>
        </w:tcBorders>
      </w:tcPr>
    </w:tblStylePr>
    <w:tblStylePr w:type="lastCol">
      <w:tblPr/>
      <w:tcPr>
        <w:tcBorders>
          <w:left w:val="single" w:color="CCE8CF" w:themeColor="light1" w:sz="4" w:space="0"/>
          <w:right w:val="single" w:color="A9D08E" w:themeColor="accent6" w:themeTint="98" w:sz="32" w:space="0"/>
        </w:tcBorders>
      </w:tcPr>
    </w:tblStylePr>
    <w:tblStylePr w:type="band1Vert">
      <w:tblPr/>
      <w:tcPr>
        <w:tcBorders>
          <w:left w:val="single" w:color="CCE8CF" w:themeColor="light1" w:sz="4" w:space="0"/>
          <w:right w:val="single" w:color="CCE8CF" w:themeColor="light1" w:sz="4" w:space="0"/>
        </w:tcBorders>
        <w:shd w:val="clear" w:color="A9D08E" w:themeColor="accent6" w:themeTint="98" w:fill="A9D08E" w:themeFill="accent6" w:themeFillTint="98"/>
      </w:tcPr>
    </w:tblStylePr>
    <w:tblStylePr w:type="band2Vert">
      <w:tblPr/>
      <w:tcPr>
        <w:tcBorders>
          <w:left w:val="single" w:color="CCE8CF" w:themeColor="light1" w:sz="4" w:space="0"/>
          <w:right w:val="single" w:color="CCE8CF" w:themeColor="light1" w:sz="4" w:space="0"/>
        </w:tcBorders>
      </w:tcPr>
    </w:tblStylePr>
    <w:tblStylePr w:type="band1Horz">
      <w:tblPr/>
      <w:tcPr>
        <w:tcBorders>
          <w:top w:val="single" w:color="CCE8CF" w:themeColor="light1" w:sz="4" w:space="0"/>
          <w:bottom w:val="single" w:color="CCE8CF" w:themeColor="light1" w:sz="4" w:space="0"/>
        </w:tcBorders>
        <w:shd w:val="clear" w:color="A9D08E" w:themeColor="accent6" w:themeTint="98" w:fill="A9D08E" w:themeFill="accent6" w:themeFillTint="98"/>
      </w:tcPr>
    </w:tblStylePr>
    <w:tblStylePr w:type="band2Horz">
      <w:tblPr/>
      <w:tcPr>
        <w:tcBorders>
          <w:top w:val="single" w:color="CCE8CF" w:themeColor="light1" w:sz="4" w:space="0"/>
          <w:bottom w:val="single" w:color="CCE8CF" w:themeColor="light1" w:sz="4" w:space="0"/>
        </w:tcBorders>
        <w:shd w:val="clear" w:color="A9D08E" w:themeColor="accent6" w:themeTint="98" w:fill="A9D08E" w:themeFill="accent6" w:themeFillTint="98"/>
      </w:tcPr>
    </w:tblStylePr>
    <w:tblStylePr w:type="neCell">
      <w:tblPr/>
    </w:tblStylePr>
    <w:tblStylePr w:type="nwCell">
      <w:tblPr/>
    </w:tblStylePr>
    <w:tblStylePr w:type="seCell">
      <w:tblPr/>
    </w:tblStylePr>
    <w:tblStylePr w:type="swCell">
      <w:tblPr/>
    </w:tblStylePr>
  </w:style>
  <w:style w:type="table" w:customStyle="1" w:styleId="148">
    <w:name w:val="List Table 6 Colorful"/>
    <w:basedOn w:val="3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1"/>
    <w:basedOn w:val="32"/>
    <w:uiPriority w:val="99"/>
    <w:pPr>
      <w:spacing w:after="0" w:line="240" w:lineRule="auto"/>
    </w:pPr>
    <w:tblPr>
      <w:tblBorders>
        <w:top w:val="single" w:color="4472C4" w:themeColor="accent1" w:sz="4" w:space="0"/>
        <w:bottom w:val="single" w:color="4472C4" w:themeColor="accent1" w:sz="4" w:space="0"/>
      </w:tblBorders>
    </w:tblPr>
    <w:tblStylePr w:type="firstRow">
      <w:rPr>
        <w:b/>
        <w:color w:val="244175" w:themeColor="accent1" w:themeShade="95"/>
      </w:rPr>
      <w:tblPr/>
      <w:tcPr>
        <w:tcBorders>
          <w:bottom w:val="single" w:color="4472C4" w:themeColor="accent1" w:sz="4" w:space="0"/>
        </w:tcBorders>
      </w:tcPr>
    </w:tblStylePr>
    <w:tblStylePr w:type="lastRow">
      <w:rPr>
        <w:b/>
        <w:color w:val="244175" w:themeColor="accent1" w:themeShade="95"/>
      </w:rPr>
      <w:tblPr/>
      <w:tcPr>
        <w:tcBorders>
          <w:top w:val="single" w:color="4472C4" w:themeColor="accent1" w:sz="4" w:space="0"/>
        </w:tcBorders>
      </w:tcPr>
    </w:tblStylePr>
    <w:tblStylePr w:type="firstCol">
      <w:rPr>
        <w:b/>
        <w:color w:val="244175" w:themeColor="accent1" w:themeShade="95"/>
      </w:rPr>
      <w:tblPr/>
    </w:tblStylePr>
    <w:tblStylePr w:type="lastCol">
      <w:rPr>
        <w:b/>
        <w:color w:val="244175" w:themeColor="accent1" w:themeShade="95"/>
      </w:rPr>
      <w:tblPr/>
    </w:tblStylePr>
    <w:tblStylePr w:type="band1Vert">
      <w:tblPr/>
      <w:tcPr>
        <w:shd w:val="clear" w:color="D0DBF0" w:themeColor="accent1" w:themeTint="40" w:fill="D0DBF0" w:themeFill="accent1" w:themeFillTint="40"/>
      </w:tcPr>
    </w:tblStylePr>
    <w:tblStylePr w:type="band2Vert">
      <w:tblPr/>
    </w:tblStylePr>
    <w:tblStylePr w:type="band1Horz">
      <w:rPr>
        <w:rFonts w:ascii="Arial" w:hAnsi="Arial"/>
        <w:color w:val="244175" w:themeColor="accent1" w:themeShade="95"/>
        <w:sz w:val="22"/>
      </w:rPr>
      <w:tblPr/>
      <w:tcPr>
        <w:shd w:val="clear" w:color="D0DBF0" w:themeColor="accent1" w:themeTint="40" w:fill="D0DBF0" w:themeFill="accent1" w:themeFillTint="40"/>
      </w:tcPr>
    </w:tblStylePr>
    <w:tblStylePr w:type="band2Horz">
      <w:rPr>
        <w:rFonts w:ascii="Arial" w:hAnsi="Arial"/>
        <w:color w:val="244175"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2"/>
    <w:basedOn w:val="32"/>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Shade="95" w:themeTint="97"/>
      </w:rPr>
      <w:tblPr/>
      <w:tcPr>
        <w:tcBorders>
          <w:bottom w:val="single" w:color="F4B285" w:themeColor="accent2" w:themeTint="97" w:sz="4" w:space="0"/>
        </w:tcBorders>
      </w:tcPr>
    </w:tblStylePr>
    <w:tblStylePr w:type="lastRow">
      <w:rPr>
        <w:b/>
        <w:color w:val="F4B285" w:themeColor="accent2" w:themeShade="95" w:themeTint="97"/>
      </w:rPr>
      <w:tblPr/>
      <w:tcPr>
        <w:tcBorders>
          <w:top w:val="single" w:color="F4B285" w:themeColor="accent2" w:themeTint="97" w:sz="4" w:space="0"/>
        </w:tcBorders>
      </w:tcPr>
    </w:tblStylePr>
    <w:tblStylePr w:type="firstCol">
      <w:rPr>
        <w:b/>
        <w:color w:val="F4B285" w:themeColor="accent2" w:themeShade="95" w:themeTint="97"/>
      </w:rPr>
      <w:tblPr/>
    </w:tblStylePr>
    <w:tblStylePr w:type="lastCol">
      <w:rPr>
        <w:b/>
        <w:color w:val="F4B285" w:themeColor="accent2" w:themeShade="95" w:themeTint="97"/>
      </w:rPr>
      <w:tbl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Shade="95" w:themeTint="97"/>
        <w:sz w:val="22"/>
      </w:rPr>
      <w:tblPr/>
      <w:tcPr>
        <w:shd w:val="clear" w:color="FADECB" w:themeColor="accent2" w:themeTint="40" w:fill="FADECB" w:themeFill="accent2" w:themeFillTint="40"/>
      </w:tcPr>
    </w:tblStylePr>
    <w:tblStylePr w:type="band2Horz">
      <w:rPr>
        <w:rFonts w:ascii="Arial" w:hAnsi="Arial"/>
        <w:color w:val="F4B28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3"/>
    <w:basedOn w:val="32"/>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Shade="95" w:themeTint="98"/>
      </w:rPr>
      <w:tblPr/>
      <w:tcPr>
        <w:tcBorders>
          <w:bottom w:val="single" w:color="C9C9C9" w:themeColor="accent3" w:themeTint="98" w:sz="4" w:space="0"/>
        </w:tcBorders>
      </w:tcPr>
    </w:tblStylePr>
    <w:tblStylePr w:type="lastRow">
      <w:rPr>
        <w:b/>
        <w:color w:val="C9C9C9" w:themeColor="accent3" w:themeShade="95" w:themeTint="98"/>
      </w:rPr>
      <w:tblPr/>
      <w:tcPr>
        <w:tcBorders>
          <w:top w:val="single" w:color="C9C9C9" w:themeColor="accent3" w:themeTint="98" w:sz="4" w:space="0"/>
        </w:tcBorders>
      </w:tcPr>
    </w:tblStylePr>
    <w:tblStylePr w:type="firstCol">
      <w:rPr>
        <w:b/>
        <w:color w:val="C9C9C9" w:themeColor="accent3" w:themeShade="95" w:themeTint="98"/>
      </w:rPr>
      <w:tblPr/>
    </w:tblStylePr>
    <w:tblStylePr w:type="lastCol">
      <w:rPr>
        <w:b/>
        <w:color w:val="C9C9C9" w:themeColor="accent3" w:themeShade="95" w:themeTint="98"/>
      </w:rPr>
      <w:tbl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Shade="95" w:themeTint="98"/>
        <w:sz w:val="22"/>
      </w:rPr>
      <w:tblPr/>
      <w:tcPr>
        <w:shd w:val="clear" w:color="E8E8E8" w:themeColor="accent3" w:themeTint="40" w:fill="E8E8E8" w:themeFill="accent3" w:themeFillTint="40"/>
      </w:tcPr>
    </w:tblStylePr>
    <w:tblStylePr w:type="band2Horz">
      <w:rPr>
        <w:rFonts w:ascii="Arial" w:hAnsi="Arial"/>
        <w:color w:val="C9C9C9"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4"/>
    <w:basedOn w:val="32"/>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864" w:themeColor="accent4" w:themeShade="95" w:themeTint="9A"/>
      </w:rPr>
      <w:tblPr/>
      <w:tcPr>
        <w:tcBorders>
          <w:bottom w:val="single" w:color="FFD864" w:themeColor="accent4" w:themeTint="9A" w:sz="4" w:space="0"/>
        </w:tcBorders>
      </w:tcPr>
    </w:tblStylePr>
    <w:tblStylePr w:type="lastRow">
      <w:rPr>
        <w:b/>
        <w:color w:val="FFD864" w:themeColor="accent4" w:themeShade="95" w:themeTint="9A"/>
      </w:rPr>
      <w:tblPr/>
      <w:tcPr>
        <w:tcBorders>
          <w:top w:val="single" w:color="FFD864" w:themeColor="accent4" w:themeTint="9A" w:sz="4" w:space="0"/>
        </w:tcBorders>
      </w:tcPr>
    </w:tblStylePr>
    <w:tblStylePr w:type="firstCol">
      <w:rPr>
        <w:b/>
        <w:color w:val="FFD864" w:themeColor="accent4" w:themeShade="95" w:themeTint="9A"/>
      </w:rPr>
      <w:tblPr/>
    </w:tblStylePr>
    <w:tblStylePr w:type="lastCol">
      <w:rPr>
        <w:b/>
        <w:color w:val="FFD864" w:themeColor="accent4" w:themeShade="95" w:themeTint="9A"/>
      </w:rPr>
      <w:tbl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864" w:themeColor="accent4" w:themeShade="95" w:themeTint="9A"/>
        <w:sz w:val="22"/>
      </w:rPr>
      <w:tblPr/>
      <w:tcPr>
        <w:shd w:val="clear" w:color="FFEFBE" w:themeColor="accent4" w:themeTint="40" w:fill="FFEFBE" w:themeFill="accent4" w:themeFillTint="40"/>
      </w:tcPr>
    </w:tblStylePr>
    <w:tblStylePr w:type="band2Horz">
      <w:rPr>
        <w:rFonts w:ascii="Arial" w:hAnsi="Arial"/>
        <w:color w:val="FFD864"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6 Colorful - Accent 5"/>
    <w:basedOn w:val="32"/>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BC2E5" w:themeColor="accent5" w:themeShade="95" w:themeTint="9A"/>
      </w:rPr>
      <w:tblPr/>
      <w:tcPr>
        <w:tcBorders>
          <w:bottom w:val="single" w:color="9BC2E5" w:themeColor="accent5" w:themeTint="9A" w:sz="4" w:space="0"/>
        </w:tcBorders>
      </w:tcPr>
    </w:tblStylePr>
    <w:tblStylePr w:type="lastRow">
      <w:rPr>
        <w:b/>
        <w:color w:val="9BC2E5" w:themeColor="accent5" w:themeShade="95" w:themeTint="9A"/>
      </w:rPr>
      <w:tblPr/>
      <w:tcPr>
        <w:tcBorders>
          <w:top w:val="single" w:color="9BC2E5" w:themeColor="accent5" w:themeTint="9A" w:sz="4" w:space="0"/>
        </w:tcBorders>
      </w:tcPr>
    </w:tblStylePr>
    <w:tblStylePr w:type="firstCol">
      <w:rPr>
        <w:b/>
        <w:color w:val="9BC2E5" w:themeColor="accent5" w:themeShade="95" w:themeTint="9A"/>
      </w:rPr>
      <w:tblPr/>
    </w:tblStylePr>
    <w:tblStylePr w:type="lastCol">
      <w:rPr>
        <w:b/>
        <w:color w:val="9BC2E5" w:themeColor="accent5" w:themeShade="95" w:themeTint="9A"/>
      </w:rPr>
      <w:tblPr/>
    </w:tblStylePr>
    <w:tblStylePr w:type="band1Vert">
      <w:tblPr/>
      <w:tcPr>
        <w:shd w:val="clear" w:color="D5E5F4" w:themeColor="accent5" w:themeTint="40" w:fill="D5E5F4" w:themeFill="accent5" w:themeFillTint="40"/>
      </w:tcPr>
    </w:tblStylePr>
    <w:tblStylePr w:type="band2Vert">
      <w:tblPr/>
    </w:tblStylePr>
    <w:tblStylePr w:type="band1Horz">
      <w:rPr>
        <w:rFonts w:ascii="Arial" w:hAnsi="Arial"/>
        <w:color w:val="9BC2E5" w:themeColor="accent5" w:themeShade="95" w:themeTint="9A"/>
        <w:sz w:val="22"/>
      </w:rPr>
      <w:tblPr/>
      <w:tcPr>
        <w:shd w:val="clear" w:color="D5E5F4" w:themeColor="accent5" w:themeTint="40" w:fill="D5E5F4" w:themeFill="accent5" w:themeFillTint="40"/>
      </w:tcPr>
    </w:tblStylePr>
    <w:tblStylePr w:type="band2Horz">
      <w:rPr>
        <w:rFonts w:ascii="Arial" w:hAnsi="Arial"/>
        <w:color w:val="9BC2E5"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6 Colorful - Accent 6"/>
    <w:basedOn w:val="32"/>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08E" w:themeColor="accent6" w:themeShade="95" w:themeTint="98"/>
      </w:rPr>
      <w:tblPr/>
      <w:tcPr>
        <w:tcBorders>
          <w:bottom w:val="single" w:color="A9D08E" w:themeColor="accent6" w:themeTint="98" w:sz="4" w:space="0"/>
        </w:tcBorders>
      </w:tcPr>
    </w:tblStylePr>
    <w:tblStylePr w:type="lastRow">
      <w:rPr>
        <w:b/>
        <w:color w:val="A9D08E" w:themeColor="accent6" w:themeShade="95" w:themeTint="98"/>
      </w:rPr>
      <w:tblPr/>
      <w:tcPr>
        <w:tcBorders>
          <w:top w:val="single" w:color="A9D08E" w:themeColor="accent6" w:themeTint="98" w:sz="4" w:space="0"/>
        </w:tcBorders>
      </w:tcPr>
    </w:tblStylePr>
    <w:tblStylePr w:type="firstCol">
      <w:rPr>
        <w:b/>
        <w:color w:val="A9D08E" w:themeColor="accent6" w:themeShade="95" w:themeTint="98"/>
      </w:rPr>
      <w:tblPr/>
    </w:tblStylePr>
    <w:tblStylePr w:type="lastCol">
      <w:rPr>
        <w:b/>
        <w:color w:val="A9D08E" w:themeColor="accent6" w:themeShade="95" w:themeTint="98"/>
      </w:rPr>
      <w:tbl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08E" w:themeColor="accent6" w:themeShade="95" w:themeTint="98"/>
        <w:sz w:val="22"/>
      </w:rPr>
      <w:tblPr/>
      <w:tcPr>
        <w:shd w:val="clear" w:color="DAEBCF" w:themeColor="accent6" w:themeTint="40" w:fill="DAEBCF" w:themeFill="accent6" w:themeFillTint="40"/>
      </w:tcPr>
    </w:tblStylePr>
    <w:tblStylePr w:type="band2Horz">
      <w:rPr>
        <w:rFonts w:ascii="Arial" w:hAnsi="Arial"/>
        <w:color w:val="A9D08E"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w:basedOn w:val="32"/>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CCE8CF" w:themeColor="light1" w:fill="CCE8C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CCE8CF" w:themeColor="light1" w:fill="CCE8C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1"/>
    <w:basedOn w:val="32"/>
    <w:uiPriority w:val="99"/>
    <w:pPr>
      <w:spacing w:after="0" w:line="240" w:lineRule="auto"/>
    </w:pPr>
    <w:tblPr>
      <w:tblBorders>
        <w:right w:val="single" w:color="4472C4" w:themeColor="accent1" w:sz="4" w:space="0"/>
      </w:tblBorders>
    </w:tblPr>
    <w:tblStylePr w:type="firstRow">
      <w:rPr>
        <w:rFonts w:ascii="Arial" w:hAnsi="Arial"/>
        <w:i/>
        <w:color w:val="244175" w:themeColor="accent1" w:themeShade="95"/>
        <w:sz w:val="22"/>
      </w:rPr>
      <w:tblPr/>
      <w:tcPr>
        <w:tcBorders>
          <w:top w:val="nil"/>
          <w:left w:val="nil"/>
          <w:bottom w:val="single" w:color="4472C4" w:themeColor="accent1" w:sz="4" w:space="0"/>
          <w:right w:val="nil"/>
        </w:tcBorders>
        <w:shd w:val="clear" w:color="CCE8CF" w:themeColor="light1" w:fill="CCE8CF" w:themeFill="light1"/>
      </w:tcPr>
    </w:tblStylePr>
    <w:tblStylePr w:type="lastRow">
      <w:rPr>
        <w:rFonts w:ascii="Arial" w:hAnsi="Arial"/>
        <w:i/>
        <w:color w:val="244175" w:themeColor="accent1" w:themeShade="95"/>
        <w:sz w:val="22"/>
      </w:rPr>
      <w:tblPr/>
      <w:tcPr>
        <w:tcBorders>
          <w:top w:val="single" w:color="4472C4" w:themeColor="accent1" w:sz="4" w:space="0"/>
          <w:left w:val="nil"/>
          <w:bottom w:val="nil"/>
          <w:right w:val="nil"/>
        </w:tcBorders>
        <w:shd w:val="clear" w:color="CCE8CF" w:themeColor="light1" w:fill="CCE8CF" w:themeFill="light1"/>
      </w:tcPr>
    </w:tblStylePr>
    <w:tblStylePr w:type="firstCol">
      <w:pPr>
        <w:jc w:val="right"/>
      </w:pPr>
      <w:rPr>
        <w:rFonts w:ascii="Arial" w:hAnsi="Arial"/>
        <w:i/>
        <w:color w:val="244175" w:themeColor="accent1" w:themeShade="95"/>
        <w:sz w:val="22"/>
      </w:rPr>
      <w:tblPr/>
      <w:tcPr>
        <w:tcBorders>
          <w:top w:val="nil"/>
          <w:left w:val="nil"/>
          <w:bottom w:val="nil"/>
          <w:right w:val="single" w:color="4472C4" w:themeColor="accent1" w:sz="4" w:space="0"/>
        </w:tcBorders>
        <w:shd w:val="clear" w:color="FFFFFF" w:fill="auto"/>
      </w:tcPr>
    </w:tblStylePr>
    <w:tblStylePr w:type="lastCol">
      <w:rPr>
        <w:rFonts w:ascii="Arial" w:hAnsi="Arial"/>
        <w:i/>
        <w:color w:val="244175" w:themeColor="accent1" w:themeShade="95"/>
        <w:sz w:val="22"/>
      </w:rPr>
      <w:tblPr/>
      <w:tcPr>
        <w:tcBorders>
          <w:top w:val="nil"/>
          <w:left w:val="single" w:color="4472C4" w:themeColor="accent1" w:sz="4" w:space="0"/>
          <w:bottom w:val="nil"/>
          <w:right w:val="nil"/>
        </w:tcBorders>
        <w:shd w:val="clear" w:color="FFFFFF" w:fill="auto"/>
      </w:tcPr>
    </w:tblStylePr>
    <w:tblStylePr w:type="band1Vert">
      <w:tblPr/>
      <w:tcPr>
        <w:shd w:val="clear" w:color="D0DBF0" w:themeColor="accent1" w:themeTint="40" w:fill="D0DBF0" w:themeFill="accent1" w:themeFillTint="40"/>
      </w:tcPr>
    </w:tblStylePr>
    <w:tblStylePr w:type="band2Vert">
      <w:tblPr/>
    </w:tblStylePr>
    <w:tblStylePr w:type="band1Horz">
      <w:rPr>
        <w:rFonts w:ascii="Arial" w:hAnsi="Arial"/>
        <w:color w:val="244175" w:themeColor="accent1" w:themeShade="95"/>
        <w:sz w:val="22"/>
      </w:rPr>
      <w:tblPr/>
      <w:tcPr>
        <w:shd w:val="clear" w:color="D0DBF0" w:themeColor="accent1" w:themeTint="40" w:fill="D0DBF0" w:themeFill="accent1" w:themeFillTint="40"/>
      </w:tcPr>
    </w:tblStylePr>
    <w:tblStylePr w:type="band2Horz">
      <w:rPr>
        <w:rFonts w:ascii="Arial" w:hAnsi="Arial"/>
        <w:color w:val="244175"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2"/>
    <w:basedOn w:val="32"/>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Shade="95" w:themeTint="97"/>
        <w:sz w:val="22"/>
      </w:rPr>
      <w:tblPr/>
      <w:tcPr>
        <w:tcBorders>
          <w:top w:val="nil"/>
          <w:left w:val="nil"/>
          <w:bottom w:val="single" w:color="F4B285" w:themeColor="accent2" w:themeTint="97" w:sz="4" w:space="0"/>
          <w:right w:val="nil"/>
        </w:tcBorders>
        <w:shd w:val="clear" w:color="CCE8CF" w:themeColor="light1" w:fill="CCE8CF" w:themeFill="light1"/>
      </w:tcPr>
    </w:tblStylePr>
    <w:tblStylePr w:type="lastRow">
      <w:rPr>
        <w:rFonts w:ascii="Arial" w:hAnsi="Arial"/>
        <w:i/>
        <w:color w:val="F4B285" w:themeColor="accent2" w:themeShade="95" w:themeTint="97"/>
        <w:sz w:val="22"/>
      </w:rPr>
      <w:tblPr/>
      <w:tcPr>
        <w:tcBorders>
          <w:top w:val="single" w:color="F4B285" w:themeColor="accent2" w:themeTint="97" w:sz="4" w:space="0"/>
          <w:left w:val="nil"/>
          <w:bottom w:val="nil"/>
          <w:right w:val="nil"/>
        </w:tcBorders>
        <w:shd w:val="clear" w:color="CCE8CF" w:themeColor="light1" w:fill="CCE8CF" w:themeFill="light1"/>
      </w:tcPr>
    </w:tblStylePr>
    <w:tblStylePr w:type="firstCol">
      <w:pPr>
        <w:jc w:val="right"/>
      </w:pPr>
      <w:rPr>
        <w:rFonts w:ascii="Arial" w:hAnsi="Arial"/>
        <w:i/>
        <w:color w:val="F4B285" w:themeColor="accent2" w:themeShade="95" w:themeTint="97"/>
        <w:sz w:val="22"/>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Shade="95" w:themeTint="97"/>
        <w:sz w:val="22"/>
      </w:rPr>
      <w:tblPr/>
      <w:tcPr>
        <w:tcBorders>
          <w:top w:val="nil"/>
          <w:left w:val="single" w:color="F4B285" w:themeColor="accent2" w:themeTint="97" w:sz="4" w:space="0"/>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Shade="95" w:themeTint="97"/>
        <w:sz w:val="22"/>
      </w:rPr>
      <w:tblPr/>
      <w:tcPr>
        <w:shd w:val="clear" w:color="FADECB" w:themeColor="accent2" w:themeTint="40" w:fill="FADECB" w:themeFill="accent2" w:themeFillTint="40"/>
      </w:tcPr>
    </w:tblStylePr>
    <w:tblStylePr w:type="band2Horz">
      <w:rPr>
        <w:rFonts w:ascii="Arial" w:hAnsi="Arial"/>
        <w:color w:val="F4B28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3"/>
    <w:basedOn w:val="32"/>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Shade="95" w:themeTint="98"/>
        <w:sz w:val="22"/>
      </w:rPr>
      <w:tblPr/>
      <w:tcPr>
        <w:tcBorders>
          <w:top w:val="nil"/>
          <w:left w:val="nil"/>
          <w:bottom w:val="single" w:color="C9C9C9" w:themeColor="accent3" w:themeTint="98" w:sz="4" w:space="0"/>
          <w:right w:val="nil"/>
        </w:tcBorders>
        <w:shd w:val="clear" w:color="CCE8CF" w:themeColor="light1" w:fill="CCE8CF" w:themeFill="light1"/>
      </w:tcPr>
    </w:tblStylePr>
    <w:tblStylePr w:type="lastRow">
      <w:rPr>
        <w:rFonts w:ascii="Arial" w:hAnsi="Arial"/>
        <w:i/>
        <w:color w:val="C9C9C9" w:themeColor="accent3" w:themeShade="95" w:themeTint="98"/>
        <w:sz w:val="22"/>
      </w:rPr>
      <w:tblPr/>
      <w:tcPr>
        <w:tcBorders>
          <w:top w:val="single" w:color="C9C9C9" w:themeColor="accent3" w:themeTint="98" w:sz="4" w:space="0"/>
          <w:left w:val="nil"/>
          <w:bottom w:val="nil"/>
          <w:right w:val="nil"/>
        </w:tcBorders>
        <w:shd w:val="clear" w:color="CCE8CF" w:themeColor="light1" w:fill="CCE8CF" w:themeFill="light1"/>
      </w:tcPr>
    </w:tblStylePr>
    <w:tblStylePr w:type="firstCol">
      <w:pPr>
        <w:jc w:val="right"/>
      </w:pPr>
      <w:rPr>
        <w:rFonts w:ascii="Arial" w:hAnsi="Arial"/>
        <w:i/>
        <w:color w:val="C9C9C9" w:themeColor="accent3" w:themeShade="95" w:themeTint="98"/>
        <w:sz w:val="22"/>
      </w:rPr>
      <w:tbl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Shade="95" w:themeTint="98"/>
        <w:sz w:val="22"/>
      </w:rPr>
      <w:tblPr/>
      <w:tcPr>
        <w:tcBorders>
          <w:top w:val="nil"/>
          <w:left w:val="single" w:color="C9C9C9" w:themeColor="accent3" w:themeTint="98" w:sz="4" w:space="0"/>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Shade="95" w:themeTint="98"/>
        <w:sz w:val="22"/>
      </w:rPr>
      <w:tblPr/>
      <w:tcPr>
        <w:shd w:val="clear" w:color="E8E8E8" w:themeColor="accent3" w:themeTint="40" w:fill="E8E8E8" w:themeFill="accent3" w:themeFillTint="40"/>
      </w:tcPr>
    </w:tblStylePr>
    <w:tblStylePr w:type="band2Horz">
      <w:rPr>
        <w:rFonts w:ascii="Arial" w:hAnsi="Arial"/>
        <w:color w:val="C9C9C9"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4"/>
    <w:basedOn w:val="32"/>
    <w:uiPriority w:val="99"/>
    <w:pPr>
      <w:spacing w:after="0" w:line="240" w:lineRule="auto"/>
    </w:pPr>
    <w:tblPr>
      <w:tblBorders>
        <w:right w:val="single" w:color="FFD864" w:themeColor="accent4" w:themeTint="9A" w:sz="4" w:space="0"/>
      </w:tblBorders>
    </w:tblPr>
    <w:tblStylePr w:type="firstRow">
      <w:rPr>
        <w:rFonts w:ascii="Arial" w:hAnsi="Arial"/>
        <w:i/>
        <w:color w:val="FFD864" w:themeColor="accent4" w:themeShade="95" w:themeTint="9A"/>
        <w:sz w:val="22"/>
      </w:rPr>
      <w:tblPr/>
      <w:tcPr>
        <w:tcBorders>
          <w:top w:val="nil"/>
          <w:left w:val="nil"/>
          <w:bottom w:val="single" w:color="FFD864" w:themeColor="accent4" w:themeTint="9A" w:sz="4" w:space="0"/>
          <w:right w:val="nil"/>
        </w:tcBorders>
        <w:shd w:val="clear" w:color="CCE8CF" w:themeColor="light1" w:fill="CCE8CF" w:themeFill="light1"/>
      </w:tcPr>
    </w:tblStylePr>
    <w:tblStylePr w:type="lastRow">
      <w:rPr>
        <w:rFonts w:ascii="Arial" w:hAnsi="Arial"/>
        <w:i/>
        <w:color w:val="FFD864" w:themeColor="accent4" w:themeShade="95" w:themeTint="9A"/>
        <w:sz w:val="22"/>
      </w:rPr>
      <w:tblPr/>
      <w:tcPr>
        <w:tcBorders>
          <w:top w:val="single" w:color="FFD864" w:themeColor="accent4" w:themeTint="9A" w:sz="4" w:space="0"/>
          <w:left w:val="nil"/>
          <w:bottom w:val="nil"/>
          <w:right w:val="nil"/>
        </w:tcBorders>
        <w:shd w:val="clear" w:color="CCE8CF" w:themeColor="light1" w:fill="CCE8CF" w:themeFill="light1"/>
      </w:tcPr>
    </w:tblStylePr>
    <w:tblStylePr w:type="firstCol">
      <w:pPr>
        <w:jc w:val="right"/>
      </w:pPr>
      <w:rPr>
        <w:rFonts w:ascii="Arial" w:hAnsi="Arial"/>
        <w:i/>
        <w:color w:val="FFD864" w:themeColor="accent4" w:themeShade="95" w:themeTint="9A"/>
        <w:sz w:val="22"/>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864" w:themeColor="accent4" w:themeShade="95" w:themeTint="9A"/>
        <w:sz w:val="22"/>
      </w:rPr>
      <w:tblPr/>
      <w:tcPr>
        <w:tcBorders>
          <w:top w:val="nil"/>
          <w:left w:val="single" w:color="FFD864" w:themeColor="accent4" w:themeTint="9A" w:sz="4" w:space="0"/>
          <w:bottom w:val="nil"/>
          <w:right w:val="nil"/>
        </w:tcBorders>
        <w:shd w:val="clear" w:color="FFFFFF" w:fill="auto"/>
      </w:tc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864" w:themeColor="accent4" w:themeShade="95" w:themeTint="9A"/>
        <w:sz w:val="22"/>
      </w:rPr>
      <w:tblPr/>
      <w:tcPr>
        <w:shd w:val="clear" w:color="FFEFBE" w:themeColor="accent4" w:themeTint="40" w:fill="FFEFBE" w:themeFill="accent4" w:themeFillTint="40"/>
      </w:tcPr>
    </w:tblStylePr>
    <w:tblStylePr w:type="band2Horz">
      <w:rPr>
        <w:rFonts w:ascii="Arial" w:hAnsi="Arial"/>
        <w:color w:val="FFD864"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60">
    <w:name w:val="List Table 7 Colorful - Accent 5"/>
    <w:basedOn w:val="32"/>
    <w:uiPriority w:val="99"/>
    <w:pPr>
      <w:spacing w:after="0" w:line="240" w:lineRule="auto"/>
    </w:pPr>
    <w:tblPr>
      <w:tblBorders>
        <w:right w:val="single" w:color="9BC2E5" w:themeColor="accent5" w:themeTint="9A" w:sz="4" w:space="0"/>
      </w:tblBorders>
    </w:tblPr>
    <w:tblStylePr w:type="firstRow">
      <w:rPr>
        <w:rFonts w:ascii="Arial" w:hAnsi="Arial"/>
        <w:i/>
        <w:color w:val="9BC2E5" w:themeColor="accent5" w:themeShade="95" w:themeTint="9A"/>
        <w:sz w:val="22"/>
      </w:rPr>
      <w:tblPr/>
      <w:tcPr>
        <w:tcBorders>
          <w:top w:val="nil"/>
          <w:left w:val="nil"/>
          <w:bottom w:val="single" w:color="9BC2E5" w:themeColor="accent5" w:themeTint="9A" w:sz="4" w:space="0"/>
          <w:right w:val="nil"/>
        </w:tcBorders>
        <w:shd w:val="clear" w:color="CCE8CF" w:themeColor="light1" w:fill="CCE8CF" w:themeFill="light1"/>
      </w:tcPr>
    </w:tblStylePr>
    <w:tblStylePr w:type="lastRow">
      <w:rPr>
        <w:rFonts w:ascii="Arial" w:hAnsi="Arial"/>
        <w:i/>
        <w:color w:val="9BC2E5" w:themeColor="accent5" w:themeShade="95" w:themeTint="9A"/>
        <w:sz w:val="22"/>
      </w:rPr>
      <w:tblPr/>
      <w:tcPr>
        <w:tcBorders>
          <w:top w:val="single" w:color="9BC2E5" w:themeColor="accent5" w:themeTint="9A" w:sz="4" w:space="0"/>
          <w:left w:val="nil"/>
          <w:bottom w:val="nil"/>
          <w:right w:val="nil"/>
        </w:tcBorders>
        <w:shd w:val="clear" w:color="CCE8CF" w:themeColor="light1" w:fill="CCE8CF" w:themeFill="light1"/>
      </w:tcPr>
    </w:tblStylePr>
    <w:tblStylePr w:type="firstCol">
      <w:pPr>
        <w:jc w:val="right"/>
      </w:pPr>
      <w:rPr>
        <w:rFonts w:ascii="Arial" w:hAnsi="Arial"/>
        <w:i/>
        <w:color w:val="9BC2E5" w:themeColor="accent5" w:themeShade="95" w:themeTint="9A"/>
        <w:sz w:val="22"/>
      </w:rPr>
      <w:tbl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BC2E5" w:themeColor="accent5" w:themeShade="95" w:themeTint="9A"/>
        <w:sz w:val="22"/>
      </w:rPr>
      <w:tblPr/>
      <w:tcPr>
        <w:tcBorders>
          <w:top w:val="nil"/>
          <w:left w:val="single" w:color="9BC2E5" w:themeColor="accent5" w:themeTint="9A" w:sz="4" w:space="0"/>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2Vert">
      <w:tblPr/>
    </w:tblStylePr>
    <w:tblStylePr w:type="band1Horz">
      <w:rPr>
        <w:rFonts w:ascii="Arial" w:hAnsi="Arial"/>
        <w:color w:val="9BC2E5" w:themeColor="accent5" w:themeShade="95" w:themeTint="9A"/>
        <w:sz w:val="22"/>
      </w:rPr>
      <w:tblPr/>
      <w:tcPr>
        <w:shd w:val="clear" w:color="D5E5F4" w:themeColor="accent5" w:themeTint="40" w:fill="D5E5F4" w:themeFill="accent5" w:themeFillTint="40"/>
      </w:tcPr>
    </w:tblStylePr>
    <w:tblStylePr w:type="band2Horz">
      <w:rPr>
        <w:rFonts w:ascii="Arial" w:hAnsi="Arial"/>
        <w:color w:val="9BC2E5"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61">
    <w:name w:val="List Table 7 Colorful - Accent 6"/>
    <w:basedOn w:val="32"/>
    <w:uiPriority w:val="99"/>
    <w:pPr>
      <w:spacing w:after="0" w:line="240" w:lineRule="auto"/>
    </w:pPr>
    <w:tblPr>
      <w:tblBorders>
        <w:right w:val="single" w:color="A9D08E" w:themeColor="accent6" w:themeTint="98" w:sz="4" w:space="0"/>
      </w:tblBorders>
    </w:tblPr>
    <w:tblStylePr w:type="firstRow">
      <w:rPr>
        <w:rFonts w:ascii="Arial" w:hAnsi="Arial"/>
        <w:i/>
        <w:color w:val="A9D08E" w:themeColor="accent6" w:themeShade="95" w:themeTint="98"/>
        <w:sz w:val="22"/>
      </w:rPr>
      <w:tblPr/>
      <w:tcPr>
        <w:tcBorders>
          <w:top w:val="nil"/>
          <w:left w:val="nil"/>
          <w:bottom w:val="single" w:color="A9D08E" w:themeColor="accent6" w:themeTint="98" w:sz="4" w:space="0"/>
          <w:right w:val="nil"/>
        </w:tcBorders>
        <w:shd w:val="clear" w:color="CCE8CF" w:themeColor="light1" w:fill="CCE8CF" w:themeFill="light1"/>
      </w:tcPr>
    </w:tblStylePr>
    <w:tblStylePr w:type="lastRow">
      <w:rPr>
        <w:rFonts w:ascii="Arial" w:hAnsi="Arial"/>
        <w:i/>
        <w:color w:val="A9D08E" w:themeColor="accent6" w:themeShade="95" w:themeTint="98"/>
        <w:sz w:val="22"/>
      </w:rPr>
      <w:tblPr/>
      <w:tcPr>
        <w:tcBorders>
          <w:top w:val="single" w:color="A9D08E" w:themeColor="accent6" w:themeTint="98" w:sz="4" w:space="0"/>
          <w:left w:val="nil"/>
          <w:bottom w:val="nil"/>
          <w:right w:val="nil"/>
        </w:tcBorders>
        <w:shd w:val="clear" w:color="CCE8CF" w:themeColor="light1" w:fill="CCE8CF" w:themeFill="light1"/>
      </w:tcPr>
    </w:tblStylePr>
    <w:tblStylePr w:type="firstCol">
      <w:pPr>
        <w:jc w:val="right"/>
      </w:pPr>
      <w:rPr>
        <w:rFonts w:ascii="Arial" w:hAnsi="Arial"/>
        <w:i/>
        <w:color w:val="A9D08E" w:themeColor="accent6" w:themeShade="95" w:themeTint="98"/>
        <w:sz w:val="22"/>
      </w:rPr>
      <w:tbl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08E" w:themeColor="accent6" w:themeShade="95" w:themeTint="98"/>
        <w:sz w:val="22"/>
      </w:rPr>
      <w:tblPr/>
      <w:tcPr>
        <w:tcBorders>
          <w:top w:val="nil"/>
          <w:left w:val="single" w:color="A9D08E" w:themeColor="accent6" w:themeTint="98" w:sz="4" w:space="0"/>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08E" w:themeColor="accent6" w:themeShade="95" w:themeTint="98"/>
        <w:sz w:val="22"/>
      </w:rPr>
      <w:tblPr/>
      <w:tcPr>
        <w:shd w:val="clear" w:color="DAEBCF" w:themeColor="accent6" w:themeTint="40" w:fill="DAEBCF" w:themeFill="accent6" w:themeFillTint="40"/>
      </w:tcPr>
    </w:tblStylePr>
    <w:tblStylePr w:type="band2Horz">
      <w:rPr>
        <w:rFonts w:ascii="Arial" w:hAnsi="Arial"/>
        <w:color w:val="A9D08E"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62">
    <w:name w:val="Lined - Accent"/>
    <w:basedOn w:val="32"/>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3">
    <w:name w:val="Lined - Accent 1"/>
    <w:basedOn w:val="32"/>
    <w:uiPriority w:val="99"/>
    <w:pPr>
      <w:spacing w:after="0" w:line="240" w:lineRule="auto"/>
    </w:pPr>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4D2EC" w:themeColor="accent1" w:themeTint="50" w:fill="C4D2EC" w:themeFill="accent1" w:themeFillTint="50"/>
      </w:tcPr>
    </w:tblStylePr>
    <w:tblStylePr w:type="neCell">
      <w:tblPr/>
    </w:tblStylePr>
    <w:tblStylePr w:type="nwCell">
      <w:tblPr/>
    </w:tblStylePr>
    <w:tblStylePr w:type="seCell">
      <w:tblPr/>
    </w:tblStylePr>
    <w:tblStylePr w:type="swCell">
      <w:tblPr/>
    </w:tblStylePr>
  </w:style>
  <w:style w:type="table" w:customStyle="1" w:styleId="164">
    <w:name w:val="Lined - Accent 2"/>
    <w:basedOn w:val="32"/>
    <w:uiPriority w:val="99"/>
    <w:pPr>
      <w:spacing w:after="0" w:line="240" w:lineRule="auto"/>
    </w:pPr>
    <w:rPr>
      <w:color w:val="404040"/>
    </w:rPr>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5">
    <w:name w:val="Lined - Accent 3"/>
    <w:basedOn w:val="32"/>
    <w:uiPriority w:val="99"/>
    <w:pPr>
      <w:spacing w:after="0" w:line="240" w:lineRule="auto"/>
    </w:pPr>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66">
    <w:name w:val="Lined - Accent 4"/>
    <w:basedOn w:val="32"/>
    <w:uiPriority w:val="99"/>
    <w:pPr>
      <w:spacing w:after="0" w:line="240" w:lineRule="auto"/>
    </w:pPr>
    <w:rPr>
      <w:color w:val="404040"/>
    </w:rPr>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67">
    <w:name w:val="Lined - Accent 5"/>
    <w:basedOn w:val="32"/>
    <w:uiPriority w:val="99"/>
    <w:pPr>
      <w:spacing w:after="0" w:line="240" w:lineRule="auto"/>
    </w:pPr>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DEAF6" w:themeColor="accent5" w:themeTint="34" w:fill="DDEAF6" w:themeFill="accent5" w:themeFillTint="34"/>
      </w:tcPr>
    </w:tblStylePr>
    <w:tblStylePr w:type="neCell">
      <w:tblPr/>
    </w:tblStylePr>
    <w:tblStylePr w:type="nwCell">
      <w:tblPr/>
    </w:tblStylePr>
    <w:tblStylePr w:type="seCell">
      <w:tblPr/>
    </w:tblStylePr>
    <w:tblStylePr w:type="swCell">
      <w:tblPr/>
    </w:tblStylePr>
  </w:style>
  <w:style w:type="table" w:customStyle="1" w:styleId="168">
    <w:name w:val="Lined - Accent 6"/>
    <w:basedOn w:val="32"/>
    <w:uiPriority w:val="99"/>
    <w:pPr>
      <w:spacing w:after="0" w:line="240" w:lineRule="auto"/>
    </w:pPr>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w:basedOn w:val="32"/>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70">
    <w:name w:val="Bordered &amp; Lined - Accent 1"/>
    <w:basedOn w:val="32"/>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4D2EC" w:themeColor="accent1" w:themeTint="50" w:fill="C4D2EC" w:themeFill="accent1" w:themeFillTint="50"/>
      </w:tcPr>
    </w:tblStylePr>
    <w:tblStylePr w:type="neCell">
      <w:tblPr/>
    </w:tblStylePr>
    <w:tblStylePr w:type="nwCell">
      <w:tblPr/>
    </w:tblStylePr>
    <w:tblStylePr w:type="seCell">
      <w:tblPr/>
    </w:tblStylePr>
    <w:tblStylePr w:type="swCell">
      <w:tblPr/>
    </w:tblStylePr>
  </w:style>
  <w:style w:type="table" w:customStyle="1" w:styleId="171">
    <w:name w:val="Bordered &amp; Lined - Accent 2"/>
    <w:basedOn w:val="32"/>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72">
    <w:name w:val="Bordered &amp; Lined - Accent 3"/>
    <w:basedOn w:val="32"/>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73">
    <w:name w:val="Bordered &amp; Lined - Accent 4"/>
    <w:basedOn w:val="32"/>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4">
    <w:name w:val="Bordered &amp; Lined - Accent 5"/>
    <w:basedOn w:val="32"/>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DEAF6" w:themeColor="accent5" w:themeTint="34" w:fill="DDEAF6" w:themeFill="accent5" w:themeFillTint="34"/>
      </w:tcPr>
    </w:tblStylePr>
    <w:tblStylePr w:type="neCell">
      <w:tblPr/>
    </w:tblStylePr>
    <w:tblStylePr w:type="nwCell">
      <w:tblPr/>
    </w:tblStylePr>
    <w:tblStylePr w:type="seCell">
      <w:tblPr/>
    </w:tblStylePr>
    <w:tblStylePr w:type="swCell">
      <w:tblPr/>
    </w:tblStylePr>
  </w:style>
  <w:style w:type="table" w:customStyle="1" w:styleId="175">
    <w:name w:val="Bordered &amp; Lined - Accent 6"/>
    <w:basedOn w:val="32"/>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6">
    <w:name w:val="Bordered"/>
    <w:basedOn w:val="3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1"/>
    <w:basedOn w:val="32"/>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blPr/>
      <w:tcPr>
        <w:tcBorders>
          <w:bottom w:val="single" w:color="4472C4" w:themeColor="accent1" w:sz="12" w:space="0"/>
        </w:tcBorders>
      </w:tcPr>
    </w:tblStylePr>
    <w:tblStylePr w:type="lastRow">
      <w:rPr>
        <w:rFonts w:ascii="Arial" w:hAnsi="Arial"/>
        <w:color w:val="404040"/>
        <w:sz w:val="22"/>
      </w:rPr>
      <w:tblPr/>
      <w:tcPr>
        <w:tcBorders>
          <w:top w:val="single" w:color="4472C4"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472C4"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2"/>
    <w:basedOn w:val="32"/>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285" w:themeColor="accent2" w:themeTint="97" w:sz="12" w:space="0"/>
        </w:tcBorders>
      </w:tcPr>
    </w:tblStylePr>
    <w:tblStylePr w:type="lastRow">
      <w:rPr>
        <w:rFonts w:ascii="Arial" w:hAnsi="Arial"/>
        <w:color w:val="404040"/>
        <w:sz w:val="22"/>
      </w:rPr>
      <w:tblPr/>
      <w:tcPr>
        <w:tcBorders>
          <w:top w:val="single" w:color="F4B28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28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3"/>
    <w:basedOn w:val="32"/>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9C9C9"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4"/>
    <w:basedOn w:val="32"/>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blPr/>
      <w:tcPr>
        <w:tcBorders>
          <w:bottom w:val="single" w:color="FFD864" w:themeColor="accent4" w:themeTint="9A" w:sz="12" w:space="0"/>
        </w:tcBorders>
      </w:tcPr>
    </w:tblStylePr>
    <w:tblStylePr w:type="lastRow">
      <w:rPr>
        <w:rFonts w:ascii="Arial" w:hAnsi="Arial"/>
        <w:color w:val="404040"/>
        <w:sz w:val="22"/>
      </w:rPr>
      <w:tblPr/>
      <w:tcPr>
        <w:tcBorders>
          <w:top w:val="single" w:color="FFD864"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FD864"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1">
    <w:name w:val="Bordered - Accent 5"/>
    <w:basedOn w:val="32"/>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blPr/>
      <w:tcPr>
        <w:tcBorders>
          <w:bottom w:val="single" w:color="9BC2E5" w:themeColor="accent5" w:themeTint="9A" w:sz="12" w:space="0"/>
        </w:tcBorders>
      </w:tcPr>
    </w:tblStylePr>
    <w:tblStylePr w:type="lastRow">
      <w:rPr>
        <w:rFonts w:ascii="Arial" w:hAnsi="Arial"/>
        <w:color w:val="404040"/>
        <w:sz w:val="22"/>
      </w:rPr>
      <w:tblPr/>
      <w:tcPr>
        <w:tcBorders>
          <w:top w:val="single" w:color="9BC2E5"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BC2E5"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2">
    <w:name w:val="Bordered - Accent 6"/>
    <w:basedOn w:val="32"/>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9D08E"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3">
    <w:name w:val="Footnote Text Char"/>
    <w:link w:val="25"/>
    <w:uiPriority w:val="99"/>
    <w:rPr>
      <w:sz w:val="18"/>
    </w:rPr>
  </w:style>
  <w:style w:type="character" w:customStyle="1" w:styleId="184">
    <w:name w:val="Endnote Text Char"/>
    <w:link w:val="18"/>
    <w:uiPriority w:val="99"/>
    <w:rPr>
      <w:sz w:val="20"/>
    </w:rPr>
  </w:style>
  <w:style w:type="paragraph" w:customStyle="1" w:styleId="185">
    <w:name w:val="TOC Heading"/>
    <w:unhideWhenUsed/>
    <w:uiPriority w:val="39"/>
    <w:rPr>
      <w:rFonts w:hint="default" w:ascii="Times New Roman" w:hAnsi="Times New Roman" w:eastAsia="宋体" w:cs="Times New Roman"/>
    </w:rPr>
  </w:style>
  <w:style w:type="character" w:customStyle="1" w:styleId="186">
    <w:name w:val="页眉 Char"/>
    <w:basedOn w:val="34"/>
    <w:link w:val="21"/>
    <w:qFormat/>
    <w:uiPriority w:val="99"/>
    <w:rPr>
      <w:sz w:val="18"/>
      <w:szCs w:val="18"/>
    </w:rPr>
  </w:style>
  <w:style w:type="character" w:customStyle="1" w:styleId="187">
    <w:name w:val="页脚 Char"/>
    <w:basedOn w:val="34"/>
    <w:link w:val="20"/>
    <w:qFormat/>
    <w:uiPriority w:val="99"/>
    <w:rPr>
      <w:sz w:val="18"/>
      <w:szCs w:val="18"/>
    </w:rPr>
  </w:style>
  <w:style w:type="character" w:customStyle="1" w:styleId="188">
    <w:name w:val="日期 Char"/>
    <w:basedOn w:val="34"/>
    <w:link w:val="17"/>
    <w:semiHidden/>
    <w:qFormat/>
    <w:uiPriority w:val="99"/>
    <w:rPr>
      <w:rFonts w:ascii="Times New Roman" w:hAnsi="Times New Roman" w:eastAsia="仿宋_GB2312" w:cs="Times New Roman"/>
      <w:sz w:val="32"/>
      <w:szCs w:val="24"/>
    </w:rPr>
  </w:style>
  <w:style w:type="paragraph" w:customStyle="1" w:styleId="189">
    <w:name w:val="正文缩进 + 首行缩进:  2 字符"/>
    <w:basedOn w:val="1"/>
    <w:qFormat/>
    <w:uiPriority w:val="0"/>
    <w:pPr>
      <w:ind w:firstLine="640"/>
    </w:pPr>
    <w:rPr>
      <w:rFonts w:cs="宋体"/>
      <w:szCs w:val="20"/>
    </w:rPr>
  </w:style>
  <w:style w:type="character" w:customStyle="1" w:styleId="190">
    <w:name w:val="批注框文本 Char"/>
    <w:basedOn w:val="34"/>
    <w:link w:val="19"/>
    <w:semiHidden/>
    <w:qFormat/>
    <w:uiPriority w:val="99"/>
    <w:rPr>
      <w:rFonts w:ascii="Times New Roman" w:hAnsi="Times New Roman" w:eastAsia="仿宋_GB2312" w:cs="Times New Roman"/>
      <w:sz w:val="18"/>
      <w:szCs w:val="18"/>
    </w:rPr>
  </w:style>
  <w:style w:type="character" w:customStyle="1" w:styleId="191">
    <w:name w:val="正文文本缩进 Char"/>
    <w:basedOn w:val="34"/>
    <w:link w:val="13"/>
    <w:semiHidden/>
    <w:qFormat/>
    <w:uiPriority w:val="99"/>
    <w:rPr>
      <w:rFonts w:ascii="Times New Roman" w:hAnsi="Times New Roman" w:eastAsia="仿宋_GB2312" w:cs="Times New Roman"/>
      <w:sz w:val="32"/>
      <w:szCs w:val="24"/>
    </w:rPr>
  </w:style>
  <w:style w:type="character" w:customStyle="1" w:styleId="192">
    <w:name w:val="正文首行缩进 2 Char"/>
    <w:basedOn w:val="191"/>
    <w:link w:val="31"/>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8519</Words>
  <Characters>9105</Characters>
  <TotalTime>4</TotalTime>
  <ScaleCrop>false</ScaleCrop>
  <LinksUpToDate>false</LinksUpToDate>
  <CharactersWithSpaces>9116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2021-03-31T09:58:00Z</dcterms:created>
  <dc:creator>l13774129191@outlook.com</dc:creator>
  <cp:lastModifiedBy>pc</cp:lastModifiedBy>
  <dcterms:modified xsi:type="dcterms:W3CDTF">2025-06-13T07:43:48Z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D5D7FBC69D1F40B481DB6154EC27E377_13</vt:lpwstr>
  </property>
  <property fmtid="{D5CDD505-2E9C-101B-9397-08002B2CF9AE}" pid="4" name="commondata">
    <vt:lpwstr>eyJoZGlkIjoiOTY1OGNjYjlhOGRiNjMzYjE2YWNlYzEzY2EyNjkyYzYifQ==</vt:lpwstr>
  </property>
  <property fmtid="{D5CDD505-2E9C-101B-9397-08002B2CF9AE}" pid="5" name="KSOTemplateDocerSaveRecord">
    <vt:lpwstr>eyJoZGlkIjoiZTRkZTZiM2M4ZjA5ZDcxYWU1MTVhZTAzZjFhZmVkZmYifQ==</vt:lpwstr>
  </property>
</Properties>
</file>