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jc w:val="center"/>
        <w:rPr>
          <w:rFonts w:hint="default" w:ascii="Times New Roman" w:hAnsi="Times New Roman" w:eastAsia="方正大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大标宋简体" w:cs="Times New Roman"/>
          <w:color w:val="auto"/>
          <w:sz w:val="40"/>
          <w:szCs w:val="40"/>
          <w:highlight w:val="none"/>
        </w:rPr>
        <w:t xml:space="preserve">关于随州市2022年预算执行情况</w:t>
      </w:r>
      <w:r>
        <w:rPr>
          <w:rFonts w:hint="default" w:ascii="Times New Roman" w:hAnsi="Times New Roman" w:eastAsia="方正大标宋简体" w:cs="Times New Roman"/>
          <w:color w:val="auto"/>
          <w:sz w:val="40"/>
          <w:szCs w:val="40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jc w:val="center"/>
        <w:rPr>
          <w:rFonts w:hint="default" w:ascii="Times New Roman" w:hAnsi="Times New Roman" w:eastAsia="方正大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大标宋简体" w:cs="Times New Roman"/>
          <w:color w:val="auto"/>
          <w:sz w:val="40"/>
          <w:szCs w:val="40"/>
          <w:highlight w:val="none"/>
        </w:rPr>
        <w:t xml:space="preserve">和2023年预算草案的报告</w:t>
      </w:r>
      <w:r>
        <w:rPr>
          <w:rFonts w:hint="default" w:ascii="Times New Roman" w:hAnsi="Times New Roman" w:eastAsia="方正大标宋简体" w:cs="Times New Roman"/>
          <w:color w:val="auto"/>
          <w:sz w:val="40"/>
          <w:szCs w:val="40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jc w:val="center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-4"/>
          <w:sz w:val="32"/>
          <w:szCs w:val="32"/>
          <w:highlight w:val="none"/>
        </w:rPr>
        <w:t xml:space="preserve">2023年1月</w:t>
      </w:r>
      <w:r>
        <w:rPr>
          <w:rFonts w:hint="eastAsia" w:ascii="Times New Roman" w:hAnsi="Times New Roman" w:eastAsia="楷体_GB2312" w:cs="Times New Roman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 xml:space="preserve">5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-4"/>
          <w:sz w:val="32"/>
          <w:szCs w:val="32"/>
          <w:highlight w:val="none"/>
        </w:rPr>
        <w:t xml:space="preserve">日在随州市第五届人民代表大会第二次会议上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jc w:val="center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 xml:space="preserve">随州市财政局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各位代表：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受市人民政府委托，现将2022年预算执行情况和2023年预算草案提请市五届人大二次会议审议，并请市政协各位委员提出意见。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一、2022年预算执行情况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2022年，面对复杂严峻的财政形势，全市财税部门锚定目标、迎难而上，紧紧围绕中央、省和市委重大决策部署和市五届人大一次会议确定的预算目标，全面落实稳经济一揽子政策和接续措施，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有力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统筹疫情防控和经济社会发展，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财政改革发展各项工作扎实推进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，财政运行总体平稳，预算执行情况总体较好。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（一）一般公共预算收支情况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1、全市一般公共预算收支完成情况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2022年，全市一般公共预算总收入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2227502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万元，为预算（调整后预算，下同）的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%，其中：地方一般公共预算收入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506099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104.5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可比增长8.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（税收收入完成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344408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105.1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%，非税收入完成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161691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103.4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%）；转移性收入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1415148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98.8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%；上年结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158009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98.9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%；政府一般债券收入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148246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2022年，全市一般公共预算总支出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2059177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%，其中：地方一般公共预算支出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1808590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98.2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%；转移性支出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162500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109.1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%；政府一般债券还本支出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88087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收支相抵，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年终结余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168325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万元（主要是跨年度执行的中央、省拨项目资金和当年超收需结转下年安排使用的部门非税收入）。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2、市本级一般公共预算收支完成情况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2022年，市本级一般公共预算总收入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493384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97.7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市本级一般公共预算总支出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454248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98.1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%。收支相抵，结余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39136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万元（主要是跨年度执行的中央、省拨项目资金和当年超收需结转下年安排使用的部门非税收入）。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市本级一般公共预算总收入具体包括：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145101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106.9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%，其中：税收收入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90774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107.8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%，非税收入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54327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105.4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295389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93.3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%，其中：返还性收入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19067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%；转移支付收入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222063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104.1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%；体制结算下级上解收入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5536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%；调入资金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38723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56.5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主要是政府性基金调入一般公共预算减少；动用预算稳定调节基金10000万元，为预算的100%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——上年结余收入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37606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——政府一般债券收入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15288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万元（新增债券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9335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万元，再融资债券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5953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万元），为预算的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市本级一般公共预算总支出具体包括：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384818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万元（含中央、省级补助收入和政府债券收入安排的支出），为预算的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%，其中：一般公共服务支出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38243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%；国防支出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275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%；公共安全支出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32849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%；教育支出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31312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95.5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%；科学技术支出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6229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106.8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%；文化旅游体育与传媒支出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7666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96.4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%；社会保障和就业支出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35492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90.6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%；卫生健康支出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112167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99.2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%；节能环保支出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22327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%；城乡社区支出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17678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91.4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%；农林水事务支出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14207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91.5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%；交通运输支出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16988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77.6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主要是交通北外环公路建设进度不及预期，暂未形成支出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；资源勘探工业信息等事务支出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9329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70.2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主要是2022年促进汽车消费上级转移支付资金下达较晚，尚未形成支出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；商业服务业等事务支出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7628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104.3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%；金融支出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360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%；援助其他地区支出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190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%；自然资源海洋气象等事务支出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6476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101.8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%；住房保障支出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11483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94.1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%；粮油物资储备支出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849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79.9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%；灾害防治及应急管理支出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4811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98.4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%；其他支出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553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%；债务付息支出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7690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107.3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%；债务发行费用支出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46953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105.8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%，其中：上解省财政支出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31997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万元，对下转移支付支出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14363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安排预算稳定调节基金233万元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/>
      <w:bookmarkStart w:id="0" w:name="_Hlk122801502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——政府一般债务还本支出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22837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3、高新区一般公共预算收支完成情况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2022年，高新区一般公共预算总收入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53855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84.5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主要是调入资金减少。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高新区一般公共预算总支出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50332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主要是部分项目受疫情影响支出进度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。收支相抵，当年结余3523万元。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高新区一般公共预算总收入具体包括：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28623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104.4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%，其中：税收收入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24539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101.3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%，非税收入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4084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万元，为预算的128.3%。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20779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68.8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主要是商业用地收入未实现，导致调入资金减少，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其中：返还性收入333万元，为预算的100%；转移支付收入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17033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86.1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%；调入资金3413万元，为预算的33.9%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——上年结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收入4453万元，为预算的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72.7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高新区一般公共预算总支出具体包括：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44741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万元（含中央、省级补助收入和政府债券收入安排的支出），为预算的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部分项目因疫情导致支付进度偏慢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，其中：一般公共服务支出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7621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万元，为预算的88.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%；国防支出19万元，为预算的9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%；公共安全支出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781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%；教育支出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9933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万元，为预算的98.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%；科学技术支出3385万元，为预算的126%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主要是2022年获得省重点产业专项资金支持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；文化旅游体育与传媒支出44万元，为预算的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%；社会保障和就业支出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7337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万元，为预算的80.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主要是部分项目因疫情导致执行进度较慢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；卫生健康支出5124万元，为预算的79.3%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主要是部分项目因疫情尚未完工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；节能环保支出282万元，为预算的24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主要是收到的省级节能专项资金增加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；城乡社区支出785万元，为预算的59.1%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主要是房地产市场低迷，相关支出减少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；农林水事务支出5136万元，为预算的102.8%；交通运输支出1048万元，为预算的82.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%；资源勘探工业信息等事务支出1042万元，为预算的29.2%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主要是项目未完成考核，尚未支付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金融支出1万元，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%；援助其他地区支出30万元，为预算的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89.6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%；自然资源海洋气象等事务支出10万元，为预算的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%；住房保障支出1287万元，为预算的97.6%；灾害防治及应急管理支出876万元，为预算的13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主要是省级救灾资金增加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——转移性支出5591万元，为预算的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5.7%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其中：上解支出5591万元。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/>
      <w:bookmarkStart w:id="1" w:name="_Hlk122803319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4、大洪山风景名胜区一般公共预算收支完成情况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2022年，大洪山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风景名胜区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一般公共预算收入总计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9181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87.1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风景名胜区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一般公共预算支出总计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9181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87.1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%。收支相抵，当年收支平衡。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大洪山风景名胜区一般公共预算总收入具体包括：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1093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90.2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%，其中：税收收入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450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%，非税收入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643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8088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%，其中：返还性收入38万元，为预算的100%；转移支付收入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5635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76.5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%；调入资金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2311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248.5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%，主要是转移支付资金减少，增加调入资金平衡预算。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大洪山风景名胜区一般公共预算总支出具体包括：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9081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万元（含中央、省级补助收入和政府债券收入安排的支出），为预算的8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主要是部分项目因疫情影响，执行进度较慢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，其中：一般公共服务支出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935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%；公共安全支出63万元，为预算的106.8%；教育支出12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%，主要是预留的增资经费调至本科目；文化旅游体育与传媒支出7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万元，为预算的99.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%；社会保障和就业支出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1551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99.8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%；卫生健康支出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613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89.4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%；城乡社区支出242万元，为预算的52.5%；农林水事务支出17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；交通运输支出481万元，为预算的100%；资源勘探工业信息等事务支出172万元，为预算的84.3%；自然资源海洋气象等事务支出482万元，为预算的70.3%；住房保障支出515万元，为预算的59.5%；灾害防治及应急管理支出284万元，为预算的106%；债务付息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——转移性支出100万元，为预算的2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%，主要是收入未实现，调减相应上解支出，其中：上解省财政支出100万元。</w:t>
      </w:r>
      <w:bookmarkEnd w:id="1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（二）政府性基金预算收支完成情况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1、全市政府性基金预算收支完成情况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2022年，全市完成政府性基金预算总收入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934236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95.3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%，其中：地方政府性基金收入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283059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万元，转移性收入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24793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万元，上年结转收入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180210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万元，政府专项债券转贷收入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446174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2022年，全市完成政府性基金预算总支出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826723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88.7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%，其中：地方政府性基金支出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660988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万元，转移性支出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16074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万元，政府专项债券还本支出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149661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万元。收支相抵，结余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107513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万元（主要是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部分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专项债券资金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暂未形成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支出，需结转下年支付）。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2、市本级政府性基金预算收支完成情况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2022年，市本级政府性基金预算总收入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329482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93.1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市本级政府性基金预算总支出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279678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84.2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%。收支相抵，结余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49804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万元（主要是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部分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专项债券资金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暂未形成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支出，需结转下年支付）。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市本级政府性基金预算总收入具体包括：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120287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78.4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主要是土地市场低迷，土地出让收入减少，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其中：国有土地使用权出让收入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94737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万元，城市基础设施配套费收入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1876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万元，污水处理费收入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2920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万元，国有土地使用权出让金专项债务对应专项收入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17735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万元，其他政府性基金专项债务对应项目专项收入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3019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/>
      <w:bookmarkStart w:id="2" w:name="_Hlk122985808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10296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%，其中：政府性基金补助收入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2579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，其他补助收入2344万元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（高新区专项债券付息2255万元、大洪山风景名胜区专项债券付息89万元）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调入资金5373万元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——上年结余收入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107808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，为预算的100%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bookmarkEnd w:id="2"/>
      <w:r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政府专项债券转贷收入91091万元，为预算的100%。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市本级政府性基金预算总支出具体包括：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242033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88.9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%，其中：文化旅游体育与传媒支出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城乡社区支出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104387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万元，其他支出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117669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万元，债务付息支出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19875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万元，债务发行费用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——政府专项债务还本支出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37645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3、高新区政府性基金预算收支完成情况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2022年，高新区政府性基金预算总收入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23494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113.4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高新区政府性基金预算总支出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14874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71.8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%。收支相抵，当年结余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8620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高新区政府性基金预算总收入具体包括：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24785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121.9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主要是2021年部分土地出让收入未及时缴库，在2022年完成入库，导致收入增加，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其中：国有土地使用权出让收入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21542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万元，城市基础设施配套费收入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3243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-1809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万元，其中：政府性基金补助收入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446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其他补助收入-2255万元（市级代为发行的专项债券付息2255万元在此以负数反映）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——上年结余收入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518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高新区政府性基金预算总支出具体包括：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14874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71.8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主要是部分项目未完工，未形成支付，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其中：社会保障和就业支出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306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万元，城乡社区支出14428万元，其他支出140万元。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年终结余8620万元。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/>
      <w:bookmarkStart w:id="3" w:name="_Hlk122803397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4、大洪山风景名胜区政府性基金预算收支完成情况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2022年，大洪山风景名胜区政府性基金预算总收入1125万元，为预算的98.9%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大洪山风景名胜区政府性基金预算总支出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1125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98.9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%。收支相抵，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当年收支平衡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大洪山风景名胜区政府性基金预算总收入具体包括：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——地方政府性基金收入145万元，为预算的96.7%，其中：国有土地使用权出让金收入108万元，城市基础设施配套费收入37万元。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.2%，其中：政府性基金补助收入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其他补助收入-89万元（市级代为发行的专项债券付息89万元在此以负数反映）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调入资金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89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——上年结余收入963万元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为预算的100%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大洪山风景名胜区政府性基金预算总支出具体包括：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——地方政府性基金支出51万元，为预算的86.4%，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其中：城乡社区支出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30万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其他支出21万元。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/>
      <w:bookmarkStart w:id="4" w:name="_Hlk122801753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——转移性支出1074万元，为预算的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99.5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%，其中：调出资金1074万元。</w:t>
      </w:r>
      <w:bookmarkEnd w:id="3"/>
      <w:bookmarkEnd w:id="4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（三）社会保险基金预算收支完成情况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1、全市社会保险基金预算收支完成情况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2022年，全市社保基金收入544593万元，为预算的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99.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失业保险基金收入5726万元，城镇职工基本医疗保险基金收入89006万元，工伤保险基金收入1538万元，城乡居民基本养老保险基金收入113527万元，机关事业单位基本养老保险基金收入165032万元，城乡居民基本医疗保险基金收入169764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2022年，全市社保基金支出479530万元，为预算的9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失业保险基金支出4030万元，城镇职工基本医疗保险基金支出64871万元，工伤保险基金支出3321万元，城乡居民基本养老保险基金支出74473万元，机关事业单位基本养老保险基金支出169215万元，城乡居民基本医疗保险基金支出163620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全市社保基金收支相抵，当年结余6506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万元，累计结余598479万元。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2、市本级社会保险基金预算收支完成情况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2022年，市本级社保基金收入63505万元，为预算的102.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%，其中：失业保险基金收入2578万元，城镇职工基本医疗保险基金收入29771万元，工伤保险基金收入567万元，机关事业单位基本养老保险基金收入30589万元。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2022年，市本级社保基金支出54169万元，为预算的98.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%，其中：失业保险基金支出1549万元，城镇职工基本医疗保险基金支出17782万元，工伤保险基金支出1180万元，机关事业单位基本养老保险基金支出33658万元。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市本级社保基金收支相抵，当年结余933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万元，累计结余 93592万元。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（四）国有资本经营预算收支完成情况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1、全市国有资本经营预算收支完成情况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2022年，全市完成国有资本经营预算收入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60814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103.4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全市完成国有资本经营预算支出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58325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103.9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%。收支相抵，结余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2489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2、市本级国有资本经营预算收支完成情况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2022年，市本级完成国有资本经营预算收入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9352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%。市本级完成国有资本经营预算支出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万元，为预算的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98.6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%，其中：其他支出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5187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万元，解决历史遗留问题及改革成本支出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万元，调出资金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3996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万元。收支相抵，当年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结余132万元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（五）政府债务情况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1、债务限额情况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省政府核定我市2022年政府债务限额2411660万元，其中：一般债务限额1159971万元，专项债务限额1251689万元。市本级政府债务限额850360万元，其中：一般债务限额250382万元，专项债务限额599978万元。县市区政府债务限额1561300万元，其中：一般债务限额909589万元，专项债务限额651711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2、债务余额情况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2022年，全市政府债务余额为2283306万元，其中：一般债务余额1031618万元，专项债务余额1251688万元。市本级政府债务余额816060万元，其中：一般债务余额216082万元，专项债务余额599978万元。县市区政府债务余额 1467246万元，其中：一般债务余额815536万元，专项债务余额651710万元。全市政府债务余额未超过省政府规定的限额。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以上预算执行具体情况详见附表，上述数据为初步汇总数据，在市级决算办理、省财政结算批复后还会有所变化，我们将依法再向市人大常委会报告。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二、落实市人大决议和主要财政工作情况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2022年，全市财政部门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全面落实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疫情要防住、经济要稳住、发展要安全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要求，狠抓稳经济一揽子政策落实，加强财政收支管理，强化重点支出保障，防范和化解财政风险，深化财政体制改革，有力支持全市经济持续稳中向好发展。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eastAsia="zh-CN"/>
        </w:rPr>
        <w:t xml:space="preserve">一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）全力以赴稳住市场主体。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一是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落实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减税降费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政策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为市场主体新增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减税降费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亿元，办理留抵退税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亿元，为872户中小微企业和个体工商户减免房屋租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78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万元，阶段性缓缴社会保险费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1946万元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，发放稳岗就业补贴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2108万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元，切实减轻市场主体税费负担。二是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帮助企业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纾困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解难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。扩大“免申即享”惠企政策事项至35项，兑现各项奖补资金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助推特色产业提档升级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。追加中小企业融资担保公司注资3.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亿元，为419家中小微企业提供担保贷款17.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亿元，全面推广新型“政银担”风险分享机制，新增新型“政银担”金额9.2亿元，担保费率进一步降低至1%以下，降低市场主体运营和融资成本。发放消费券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3300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万元，举办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系列促消费活动200余场，撬动直接消费近2亿元。三是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全力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优化营商环境。落实优化营商环境26条硬举措，推进“高效办成一件事”，提高中小企业政府采购预留份额比例、合同预付款比例，全面取消政府采购投标保证金，扩大“政采贷”规模，累计为企业融资20亿元。四是支持重点项目建设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发行政府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专项债券资金34.6亿元，争取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国家基础设施投资基金等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政策性资金134.5亿元，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一批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重点项目加快推进，为全市经济发展注入强劲动力。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/>
      <w:bookmarkStart w:id="5" w:name="_Hlk90406344"/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eastAsia="zh-CN"/>
        </w:rPr>
        <w:t xml:space="preserve">二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）全力保障财政平稳运行。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一是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加强收入统筹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一方面，坚持依法征管、应收尽收，克服疫情、经济下行、减税降费等因素影响，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全市地方一般公共预算收入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规模保持在50亿元以上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可比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另一方面加强财政资金统筹，统筹盘活财政各类资金9.9亿元，提高保障能力。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二是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加强对上争资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。围绕中央、省稳经济一揽子政策措施，积极争取各类上级转移支付资金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债券资金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140.7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保障经济社会发展需要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。三是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加强支出控管。坚决落实过紧日子要求，从严控制一般性支出，全市压减一般性支出1.9亿元，用于增强地方民生保障，兜实兜牢“三保”底线。四是加强债务管理。持续加强政府债务借、用、管、还全流程管理，偿还政府债务本息30.9亿元，不断降低风险水平，增强财政可持续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（三）全力改善社会民生福祉。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坚持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民生领域投入只增不减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，民生支出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占比始终保持在75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以上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。筹措资金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23.4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巩固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拓展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脱贫攻坚成果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乡村振兴有效衔接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累计消除有致贫返贫风险的监测对象2410户6099人，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建成高标准农田20.1万亩，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建农村公路644公里，完成危桥改造228座，新打造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4个美丽乡村示范片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160个示范村整治村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，农村生活垃圾无害化处理实现全覆盖，新增新型农业经营主体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879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乡村合作公司发展到640家，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负债50万元以下村债务实现清零，乡村振兴基础进一步夯实。筹措资金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28.4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亿元，落实教育经费“两个只增不减”和各项助学政策，新建义务教育阶段学校4所，新增公办幼儿园学位3240个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资助家庭困难学生3.6万人次，完善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“双减”课后服务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经费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激励保障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机制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提高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义务教育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经费保障水平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，促进教育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公平与质量提升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。筹措资金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30.4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亿元，落实就业优先政策，抓好重点群体创业就业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技能提升，新增城镇就业1.9万人，开展技能培训2.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万人次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提高农村低保、农村特困、孤儿养育等困难群众社会救助标准，机关事业单位养老保险、企业基本养老保险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待遇继续提标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5%。支持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关爱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一老一小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等群体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完成居家适老化改造562户、残疾人家庭无障碍改造3320户、新增婴幼儿托位470个，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推动新的生育政策落地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效。筹措资金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28.7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亿元，完成老旧小区改造159个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，惠及居民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1.3万户，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整治背街小巷114条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既有住宅加装电梯10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发放租赁补贴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649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整治危房1.8万户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建成“红色驿站”383个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新增停车泊位3451个，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改善群众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居住环境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。筹措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“保交楼”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专项借款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亿元，如期交房3034套，切实维护购房群众合法权益。筹措资金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22.5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全力支持疫情防控，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推进优质医疗资源持续扩容，市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中心医院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传染病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大楼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、中西医结合肺科医院、妇女儿童呼吸专科大楼投入使用，市急救中心正式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上线运行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，农村卫生室和村医实现全覆盖，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市县镇村四级卫生健康服务体系不断健全，医保结算和药品耗材集采改革有效推进，保障群众健康能力持续提升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。筹措资金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公共文化设施免费开放，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打造城市旅游精品线路，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发展文旅新业态，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成功举办壬寅年寻根节、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第二届文旅产业发展大会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，擦亮“神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 xml:space="preserve">韵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随州 一见钟情”城市旅游品牌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加快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文旅融合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高质量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发展。筹措资金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34.2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亿元，推进平安随州、灾害防治、应急管理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环境保护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等公共安全体系建设，防范化解社会风险，提升社会综合治理水平。</w:t>
      </w:r>
      <w:bookmarkEnd w:id="5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 xml:space="preserve">四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）全力提升财政改革成效。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一是向绩效管理要成效。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完善全过程预算绩效管理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部门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绩效自评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实现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全覆盖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市级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社会关注度高的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7个部门整体支出和30个项目支出开展重点绩效评价，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强化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结果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应用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，压减和取消低效无效项目35个，压减资金5598万元。二是向预算管理要成效。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开展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财政投资评审项目58个，审减资金1.1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亿元，审减率11.3%，有力促进财政资金提质增效。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持续完善预决算公开制度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，部门及所属单位预决算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公开全覆盖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，预算信息公开工作再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获省通报表彰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三是向预算管理一体化要成效。成功上线政府采购模块、非税模块，实现预算编制、预算执行、政府采购、资产管理、非税管理等财政业务全流程、标准化管理，让财政资金分配、拨付、使用、核算全流程看得见、管得住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全面提升预算管理规范化、标准化、自动化水平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。四是向财政监督要成效，推动完善财政监督体系和工作机制，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扎实开展惠民惠农财政补贴资金“一卡通”、财经秩序、地方政府债务领域腐败问题等五大专项整治行动，强化监督结果应用，狠抓问题整改，进一步严肃财经纪律。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2022年，全市财政运行保持平稳，各项财税政策有效落实，财税改革稳步推进，为推动经济社会高质量发展提供了有力支撑。这些成绩的取得，是市委科学决策、正确领导的结果，是市人大、市政协及代表委员们依法监督、加强指导的结果，是各地、各部门和全市人民群策群力、共同奋斗的结果。同时，我们也清醒地认识到，当前财政运行还面临一些困难和问题，主要是：财政收支矛盾更加突出，财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可持续性的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压力越来越大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；部分单位预算编制的精准化水平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和预算执行刚性约束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有待提高；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部分单位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预算绩效观念不强，资金使用效益不高；部分单位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财务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管理不够规范、会计信息质量不高，财政监督需进一步加强；地方政府债务还本付息进入高峰期，防范化解政府债务风险任务艰巨等等。对于这些问题，我们将虚心听取各位代表、委员的意见和建议，采取有效措施加以解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三、2023年预算草案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2023年是全面贯彻落实党的二十大精神的开局之年，也是推动随州高质量发展的关键之年，做好财政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经济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工作意义重大。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（一）2023年预算编制指导思想和基本原则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2023年预算编制的指导思想是：以习近平新时代中国特色社会主义思想为指导，全面贯彻党的二十大和中央、省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经济工作会议精神，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完整、准确、全面贯彻新发展理念，着力推动高质量发展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。强化财政资源统筹，优化支出结构，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加强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重点支出保障，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 w:bidi="ar-SA"/>
        </w:rPr>
        <w:t xml:space="preserve">更好统筹疫情防控和经济社会发展，更好统筹发展和安全，加力提效落实积极的财政政策，注重精准，更可持续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；继续坚持政府过紧日子，勤俭节约办一切事业，严控一般性支出；强化零基预算，加强项目全生命周期管理，加快支出标准体系建设，推动预算绩效管理扩面提质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全面应用预算管理一体化系统，推动建立标准科学、规范透明、约束有力的部门预算管理体系，提升预算管理整体效能。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2023年预算编制的基本原则：一是坚持依法编制。按照《预算法》和《预算法实施条例》要求编制预算，加强与有关法律、法规和制度衔接，体现中央、省方针政策和市委、市政府的决策部署。收入预算坚持实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事求是，科学预测，与经济社会发展水平相适应。支出预算坚持量入为出、量力而行，与可用财力相适应。二是加强预算统筹。依法依规将各类收入全部纳入预算管理，未按规定纳入预算的收入不得安排支出。统筹协调财政拨款与非财政拨款，加大存量资金统筹力度，优先消化结余结转资金，更大力度盘活各类存量资产，整合优化财政资金来源渠道，提升财政综合保障能力。三是保障重点支出。切实筑牢“三保”底线，将“三保”支出作为预算编制的重点，足额编列、不留缺口。统筹各类资金和资产，优先保障“三保”、社会事业、债务还本付息等刚性支出，全力保障重大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略、重大政策、重要改革和重点项目实施。四是优化支出结构。坚决落实政府过紧日子的要求，建立节约型财政保障机制，严控一般性支出，严控楼堂馆所建设，2023年“三公”经费和一般性支出只减不增，切实降低行政运行成本。突出绩效导向，推动预算绩效与预算编制、执行、监督深度融合，加大绩效评价结果应用，大力压减和取消低效无效支出，提高财政资金配置效率和使用效益。五是防范财政风险。加强对重大支出政策和重点项目支出的财政可承受能力评估，建立重大项目评估和退出机制，提高财政可持续性。加强政府债务管理，有效防范和化解政府债务风险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（二）2023年一般公共预算收入预计和支出安排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综合考虑全市主要经济指标和各项政策性收支增减因素，预计2023年全市地方一般公共预算收入比上年增长10%，根据《中华人民共和国预算法》及我省相关实施办法的规定，各县市区预算经同级人代会审查批准后，市财政局再将汇总的全市预算报市人大常委会备案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1、全市2023年一般公共预算收入预计和支出安排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全市一般公共预算总收入预计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2300323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比上年增长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%（可比口径，上年收支剔除新增政府债券，下同），其中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地方一般公共预算收入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556709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万元，转移性收入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1502608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万元，上年结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168325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万元，地方政府一般债务转贷收入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72681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万元。全市一般公共预算总支出预计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2229740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比上年增长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13.7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%，其中：地方一般公共预算支出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1976585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万元，转移性支出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146528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万元，地方政府一般债务还本支出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106627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万元。收支相抵，年终结余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70583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2、市本级2023年一般公共预算收入预计和支出安排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市本级一般公共预算总收入预计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457132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减少5.6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%。市本级一般公共预算总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457132万元，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增长2.7%。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收支相抵，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当年收支平衡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市本级一般公共预算总收入具体包括：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157647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248119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减少16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减少一次性转移支付，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其中：返还性收入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19067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万元，转移支付收入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157728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万元，体制结算下级上解收入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6090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万元，调入资金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60234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万元，动用预算稳定调节基金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5000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pStyle w:val="703"/>
        <w:keepNext w:val="false"/>
        <w:keepLines w:val="false"/>
        <w:pageBreakBefore w:val="false"/>
        <w:widowControl w:val="false"/>
        <w:pBdr/>
        <w:spacing w:after="0" w:line="620" w:lineRule="exact"/>
        <w:ind w:firstLine="64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——上年结转收入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39136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万元，比上年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增长4.1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cs="Times New Roman"/>
          <w:color w:val="auto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——地方政府一般债券（再融资债券）收入预计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12230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减少20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市本级一般公共预算总支出具体包括：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——地方一般公共预算支出安排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394165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增长5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%，其中：一般公共服务支出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41165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万元，国防支出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761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万元，公共安全支出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43951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万元，教育支出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32720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万元，科学技术支出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5829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万元，文化旅游体育与传媒支出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7259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万元，社会保障和就业支出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36483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万元，卫生健康支出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95787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万元，节能环保支出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18040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万元，城乡社区支出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15739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万元，农林水事务支出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12628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万元，交通运输支出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12208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万元，资源勘探工业信息等事务支出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7694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万元，商业服务业等事务支出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5695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万元，金融支出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万元，援助其他地区支出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万元，自然资源海洋气象等支出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6315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万元，住房保障支出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16198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万元，粮油物资储备事务支出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1443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万元，灾害防治及应急管理支出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3218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万元，预备费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3000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万元，其他支出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21150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万元，债务付息支出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6682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万元，债务发行费用支出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——转移性支出安排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46339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减少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0.5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%，其中：上解省财政支出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32385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万元，对下转移支付支出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13954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——债务还本支出安排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16628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减少27.2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3、高新区2023年一般公共预算收入预计和支出安排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高新区一般公共预算总收入预计72886万元，比上年增长3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2023年将商业用地收入列入预算，调入一般公共预算。高新区一般公共预算总支出预计72886万元，比上年增长44.8%，主要是市级新划转三个单位到高新区，以及机关事业单位2021-2023年养老金缺口列入2023年预算。收支相抵，当年收支平衡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高新区一般公共预算总收入具体包括：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31487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%，其中：税收收入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27008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万元，非税收入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4479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37876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82.3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%，主要是加大政府性基金调入一般公共预算力度，其中：返还性收入333万元，转移支付收入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8833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万元，调入资金28710万元。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——上年结余收入3523万元，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比上年减少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20.9%。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高新区一般公共预算总支出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——地方一般公共预算支出安排65886万元，比上年增长4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.3%，其中：一般公共服务支出911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国防支出15万元，公共安全支出640万元，教育支出8626万元，科学技术支出690万元，文化旅游体育与传媒支出12万元，社会保障和就业支出13272万元，卫生健康支出7592万元，节能环保支出330万元，城乡社区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1706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万元，农林水事务支出4420万元，交通运输支出1450万元，资源勘探工业信息等事务支出8751万元，金融支出66万元，自然资源海洋气象等支出30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万元，住房保障支出1000万元，灾害防治及应急管理支出793万元，预备费600万元，其他支出6500万元。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——转移性支出安排7000万元，比上年增长25.2%，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主要是上年转移支付支出基数偏低，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其中：上解支出7000万元。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/>
      <w:bookmarkStart w:id="6" w:name="_Hlk122803428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4、大洪山风景名胜区2023年一般公共预算收入预计和支出安排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大洪山风景名胜区一般公共预算总收入预计8681万元，比上年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减少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。大洪山风景名胜区一般公共预算总支出预计8681万元，比上年减少5.4%。收支相抵，当年收支平衡。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大洪山风景名胜区一般公共预算总收入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——地方一般公共预算收入预计2855万元，比上年增长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161.2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%，主要是上年度收入未完成，导致基数偏低，本年度增加一次性矿权出让收入，其中：税收收入1500万元，非税收入1355万元。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——转移性收入预计 5826万元，比上年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减少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%，主要是上年度一次性收入较多，其中：返还性收入38万元，转移支付收入2672万元，调入资金3116万元。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大洪山风景名胜区一般公共预算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总支出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——地方一般公共预算支出安排8166万元，比上年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减少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上年度一次性转移支付资金较多，本年度减少，其中：一般公共服务支出1064万元，公共安全支出30万元，教育支出860万元，文化旅游体育与传媒支出61万元，社会保障和就业支出2012万元，卫生健康支出726万元，节能环保支出5万元，城乡社区支出446万元，农林水事务支出546万元，交通运输支出10万元，资源勘探工业信息等事务支出400万元，自然资源海洋气象等支出36万元，住房保障支出410万元，灾害防治及应急管理支出43万元，预备费100万元，其他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1417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——转移性支出安排515万元，比上年增长415%，主要是上年度收入未实现，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转移性支出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基数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低，其中：上解支出515万元。</w:t>
      </w:r>
      <w:bookmarkEnd w:id="6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30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（三）2023年政府性基金预算收入预计和支出安排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pacing w:line="620" w:lineRule="exact"/>
        <w:ind w:firstLine="64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全市政府性基金预算收入预计和支出安排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2023年，全市政府性基金预算总收入预计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496927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比上年减少15.5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（主要是再融资债券减少）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，其中：地方政府性基金收入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354740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万元，转移性收入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9788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万元，上年结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107513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万元，地方政府专项债券转贷收入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24886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万元（再融资债券）。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2023年，全市政府性基金预算总支出预计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460132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比上年减少4.2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（主要是政府专项债券还本减少）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，其中：地方政府性基金支出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347253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万元，转移性支出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54693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万元，地方政府专项债券还本支出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58186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万元。收支相抵，年终结余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36795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2、市本级政府性基金预算收入预计和支出安排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市本级政府性基金预算总收入预计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196444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比上年减少23.1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主要是结转资金减少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市本级政府性基金预算总支出预计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181502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减少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11.8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收支相抵，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年终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14942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市本级政府性基金预算总收入具体包括：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——地方政府性基金预算收入预计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136376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万元，其中：国有土地使用权出让金收入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119645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万元，城市基础设施配套费收入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4000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万元，污水处理费收入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3500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自求平衡专项债券项目收益归集收入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9231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万元，其中：上级补助收入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1600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——上年结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49804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——地方政府专项债券（再融资债券）收入预计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8664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市本级政府性基金预算总支出具体包括：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——地方政府性基金预算支出安排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139971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万元，其中：城乡社区支出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86186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万元，其他支出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36055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万元，债务付息支出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17680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万元，债务发行费用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——转移性支出安排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22867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万元，其中：调出资金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22867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年终结余14942万元。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——债务还本支出安排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18664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3、高新区政府性基金预算收入预计和支出安排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2023年高新区政府性基金预算总收入预计78874万元，比上年增长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235.7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%，主要是市级划转商业用地收入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增加。高新区政府性基金预算总支出预计78874万元，比上年增长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430.3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%，主要是国有土地使用权出让金收入安排的支出增加。收支相抵，当年收支平衡。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高新区政府性基金预算总收入具体包括：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——地方政府性基金预算收入预计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70142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万元，其中：国有土地使用权出让金收入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68452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万元，城市基础设施配套费收入1690万元。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——转移性收入预计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万元，其中：政府性基金转移支付收入112万元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——上年结转收入8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620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高新区政府性基金预算总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——地方政府性基金预算支出安排50164万元，其中：城乡社区支出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50052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万元，其他支出112万元。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Cs w:val="2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——转移性支出安排28710万元，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调出资金28710万元。</w:t>
      </w:r>
      <w:r>
        <w:rPr>
          <w:rFonts w:hint="default" w:ascii="Times New Roman" w:hAnsi="Times New Roman" w:eastAsia="方正仿宋简体" w:cs="Times New Roman"/>
          <w:color w:val="auto"/>
          <w:szCs w:val="2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/>
      <w:bookmarkStart w:id="7" w:name="_Hlk122803445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4、大洪山风景名胜区政府性基金预算收入预计和支出安排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大洪山风景名胜区政府性基金预算总收入预计6321万元，比上年增长461.9%，主要是土地出让收入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增加。大洪山风景名胜区政府性基金预算总支出预计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5570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395.1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%，主要是土地出让收入安排支出增加。收支相抵，当年结余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751万元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大洪山风景名胜区政府性基金预算总收入具体包括：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——地方政府性基金预算收入预计6321万元，其中：国有土地使用权出让金收入6288万元，城市基础设施配套费收入33万元。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大洪山风景名胜区政府性基金预算总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具体包括：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——地方政府性基金预算支出安排2454万元，其中：城乡社区支出2454万元。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——</w:t>
      </w:r>
      <w:bookmarkStart w:id="8" w:name="_Hlk122802862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转移性支出安排</w:t>
      </w:r>
      <w:bookmarkEnd w:id="8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3116万元，</w:t>
      </w:r>
      <w:bookmarkStart w:id="9" w:name="_Hlk122802901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其中：</w:t>
      </w:r>
      <w:bookmarkEnd w:id="9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调出资金3116万元。</w:t>
      </w:r>
      <w:bookmarkEnd w:id="7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（四）2023年社保基金预算收入预计和支出安排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1、全市社保基金预算收入预计和支出安排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2023年，全市社保基金预算收入预计为589588万元，比上年增长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8.3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%，其中：城镇职工基本医疗保险基金收入95875万元，工伤保险基金收入166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万元，城乡居民基本养老保险基金收入129554万元，机关事业单位基本养老保险基金收入183002万元，城乡居民基本医疗保险基金收入179490万元。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2023年，全市社保基金预算支出安排501515万元，比上年增长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城镇职工基本医疗保险基金支出66294万元，工伤保险基金支出3573万元，城乡居民基本养老保险基金支出81562万元，机关事业单位基本养老保险基金支出183002万元，城乡居民基本医疗保险基金支出167084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全市社保基金收支相抵，当年结余88073万元，累计结余677200万元。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6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2、市本级社保基金预算收入预计和支出安排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2023年，市本级社保基金预算收入预计为70798万元，比上年增长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11.5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%，其中：城镇职工基本医疗保险基金收入32912万元，工伤保险基金收入584万元，机关事业单位基本养老保险基金收入37302万元。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6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2023年，市本级社保基金预算支出安排57291万元，比上年增长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%，其中：城镇职工基本医疗保险基金支出18651万元，工伤保险基金支出1338万元，机关事业单位基本养老保险基金支出37302万元。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6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市本级社保基金收支相抵，当年结余13507万元，累计结余104216万元。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6" w:lineRule="exact"/>
        <w:ind w:firstLine="642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（五）2023年国有资本经营预算收入预计和支出安排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6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1、全市国有资本经营预算收入预计和支出安排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2023年，全市国有资本经营预算总收入预计为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104725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72.2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%，主要是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随县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收支增加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国有资本经营预算总支出安排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104186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78.6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%。收支相抵，年终结余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539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6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2、市本级国有资本经营预算收入预计和支出安排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2023年，市本级国有资本经营预算收入预计为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9266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万元，比上年减少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0.9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%，其中：利润收入8884万元，股利、股息收入250万元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上年结转收入132万元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。市本级国有资本经营预算支出安排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9266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万元，比上年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增长0.5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%，其中：其他支出5133万元，调出资金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4133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万元。收支相抵，当年收支平衡。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四、2023年重大支出政策和重点支出安排情况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2023年全市预算安排重点围绕中央、省和市委、市政府重大决策部署，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紧扣强信心、稳增长、防风险、推改革、惠民生要求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，集中财力保障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产业能级提升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、民生福祉改善、乡村振兴战略实施、污染防治和生态建设、区域协调发展等重点支出，具体安排情况为：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（一）支持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eastAsia="zh-CN"/>
        </w:rPr>
        <w:t xml:space="preserve">产业能级提升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筹措资金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9.1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亿元，推动专汽产业向新能源、应急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救援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、智能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网联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转型发展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做强汽车全产业链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。支持农产品加工业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提档升级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，培育农业产业化龙头企业，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围绕五大特色产业链，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实现延链补链强链。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支持“风光水火储”能源基地建设，做大做强现代能源产业。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精细化工、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新材料、电子信息、智能装备、生物医药等高成长性产业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聚集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发展，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全力营造良好产业发展生态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高新技术企业成长工程、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中小企业成长工程，深入实施“技改提能 制造焕新”三年行动，精心培育专精特新“小巨人”。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支持技术攻关、成果转化和人才培养，深化市校合作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，引导推动高等院校科研资源向随州集聚。</w:t>
      </w:r>
      <w:r>
        <w:rPr>
          <w:rFonts w:hint="default" w:ascii="Times New Roman" w:hAnsi="Times New Roman" w:cs="Times New Roman"/>
          <w:color w:val="auto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（二）支持民生福祉改善。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筹措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亿元，全面落实学生资助、义务教育阶段免学费、家庭经济困难生活费补助等各项补助政策，加大教育基础设施建设，改善薄弱学校办学条件，促进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高质量教育体系建设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。筹措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34.8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各项就业创业政策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落实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，稳步提高社会保障待遇，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完善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社会救助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社会福利制度，提升养老托育服务供给能力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持续扩大社会保险覆盖范围，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强力整治欠薪问题，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织密织牢社会保障网。筹措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4.1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保障性安居工程建设，构建多主体供给、多渠道保障、租购并举的住房制度。筹措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20.2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支持新阶段疫情防控，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持续提升重大传染病防控、重大疾病救治和疾病预防控制能力，推进医疗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、医保、医药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改革，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增加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优质医疗资源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供给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，爱国卫生运动与公共卫生体系建设融合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开展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，加快建设健康随州。筹措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地域优秀传统文化挖掘利用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加强文物保护，创新文创产品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促进公共文化服务体系更加健全发展。筹措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38.9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亿元，支持平安随州建设，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开展城市专项体检，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保障安全生产、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灾害防治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、应急管理等，提升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社会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治理水平。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（三）支持乡村振兴战略实施。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筹措资金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24.3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全面推进乡村振兴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推进高标准农田建设，加强农田水利基础设施建设和维护，切实保障粮食安全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。支持新型农村集体经济和乡村特色产业发展，大力发展新产业新业态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培育新型农业经营主体，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千方百计拓宽农民增收致富渠道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。支持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宜居宜业和美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乡村建设，巩固农村改厕、农村生活垃圾处理和污水治理成效，持续改善农村人居环境，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不断提升乡村治理现代化水平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r>
    </w:p>
    <w:p>
      <w:pPr>
        <w:pStyle w:val="703"/>
        <w:keepNext w:val="false"/>
        <w:keepLines w:val="false"/>
        <w:pageBreakBefore w:val="false"/>
        <w:widowControl w:val="false"/>
        <w:pBdr/>
        <w:spacing w:after="0" w:line="620" w:lineRule="exact"/>
        <w:ind w:firstLine="642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（四）支持污染防治和生态建设。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 w:bidi="ar-SA"/>
        </w:rPr>
        <w:t xml:space="preserve">筹措资金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 w:bidi="ar-SA"/>
        </w:rPr>
        <w:t xml:space="preserve">2.9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 w:bidi="ar-SA"/>
        </w:rPr>
        <w:t xml:space="preserve">亿元，以更高标准打好蓝天、碧水、净土保卫战。巩固黑臭水体治理成效，持续改善集中式饮用水源地环境，加强土壤污染源头防控，编制实施流域综合治理和统筹发展规划，巩固绿满随州行动成果，全力守护绿水青山。支持融入“襄十随神”城市群生态环境共保联治，筑牢鄂北生态屏障。紧盯“双碳”目标，严控“两高一低”项目，推动传统产业绿色转型，农业绿色发展，推广绿色低碳技术应用，促进生产生活方式绿色转型。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r>
    </w:p>
    <w:p>
      <w:pPr>
        <w:pStyle w:val="703"/>
        <w:keepNext w:val="false"/>
        <w:keepLines w:val="false"/>
        <w:pageBreakBefore w:val="false"/>
        <w:widowControl w:val="false"/>
        <w:pBdr/>
        <w:spacing w:after="0" w:line="620" w:lineRule="exact"/>
        <w:ind w:firstLine="642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（五）支持城乡融合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eastAsia="zh-CN"/>
        </w:rPr>
        <w:t xml:space="preserve">发展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筹措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26.1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亿元，推动“襄十随神”城市群一体化发展三年行动、“神韵随州”品质提升补短板三年行动、花园城市建设三年行动实施，不断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提升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城市功能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品质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。市级安排对下转移支付资金3亿元以上，支持随县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建好强县工程试点，进入百强储备县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 xml:space="preserve">；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支持广水市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向百强县冲刺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 xml:space="preserve">；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支持曾都区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进入全省先进县市区行列；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支持随州高新区加快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 xml:space="preserve">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进国家高新区百强行列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 xml:space="preserve">；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支持大洪山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风景名胜区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创建国家级旅游度假区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持续培育镇域小老虎，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推进区域融合发展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五、完成2023年预算的主要措施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 xml:space="preserve">一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）更大力度提高政策质效。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一是增强财政政策的针对性有效性，优化完善助企纾困政策，激发各类市场主体活力，落实落细就业优先政策，大力提振市场主体信心。二是发挥财政稳投资促消费作用，强化政府投资对全社会投资的引导带动，提升科技投入效能，推动产业结构优化升级，促进恢复和扩大消费。三是推进“高效办成一件事”走深走实，推动惠企政策“直达快享、应享尽享”，发挥政府性融资担保主力军作用，不断降低企业生产和融资成本，持续优化营商环境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lang w:val="en-US" w:eastAsia="zh-CN"/>
        </w:rPr>
        <w:t xml:space="preserve">二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）更大力度抓好财政收支。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一是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加强部门协同配合，依法依规征收税费，坚决不收过头税费，坚决防止搞集中清欠税收、乱收费削减政策红利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二是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紧密对接国家政策、产业和投资导向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，储备一批强基础、增后劲、利长远的重大项目和精品项目，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全力争取预算内投资、政府债券、基础设施投资基金等上级政策性资金支持，缓解地方财政投入压力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三是坚决落实过紧日子要求，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进一步优化支出结构，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整合用途交叉重叠或政策碎片化的支出，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大力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压减一般性和非重点、非刚性、非急需支出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，建立节约型财政保障机制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，集中财力解决好发展中最关键、最急迫的问题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（三）更大力度防范化解风险。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一是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切实兜牢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“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三保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底线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加强“三保”预算合规性审查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坚持“三保”支出在财政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预算编制和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支出中的优先地位，完善直达资金监控系统，增强预警和分析功能，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坚决兜住“三保”底线。二是严守债务风险底线。严格执行地方政府债务限额管理和预算管理制度，开好“前门”，科学合理谋划项目，积极争取资金支持，补齐民生领域短板。严堵“后门”，规范政府举债融资行为，坚决遏制隐性债务增量，稳妥化解债务存量，坚决守住不发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系统性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风险的底线。三是防范财政运行风险。加强库款运行监测，持续清理消化暂付款，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强化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重大支出政策财政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承受能力评估，促进财政可持续发展。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（四）更大力度深化财政改革。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一是紧盯省以下财政体制改革进展，全力争取上级政策和资金支持，结合实际科学合理划分市以下财政事权和支出责任，促进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区域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基本公共服务均等化。二是深化预算绩效管理改革，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完善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绩效指标和标准体系，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做实部门绩效自评，提升绩效管理质量，推进全流程绩效监控，强化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有效安排、低效削减、无效问责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激励约束机制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切实提高财政资金质效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。三是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继续推进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预算管理一体化，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推进支出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标准体系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建设，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加快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形成标准统一、运行规范、上下贯通的预算管理新格局。四是深化预算管理制度改革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 xml:space="preserve">，持续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优化支出结构，坚持有保有压，不断提高支出效率。加快部门项目支出标准体系建设，健全项目入库评审机制和项目滚动管理机制，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加强决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算、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评价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评审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、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 xml:space="preserve">审查结果分析应用，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 xml:space="preserve">持续提升部门预算精准性、科学性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2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</w:rPr>
        <w:t xml:space="preserve">（五）更大力度推进依法理财。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深入贯彻落实《关于人大预算审查监督重点向支出预算和政策拓展的指导意见》等文件精神和市人大要求，自觉接受预算决算审查监督。认真听取吸纳代表委员的意见和建议，及时回应代表委员关切，提高支出预算和政策的科学性有效性。积极配合做好人大预算联网监督，强化预算执行全过程监督，落实审计问题整改，加大财政预决算、预算绩效、政府债务等信息公开力度，自觉主动接受各方监督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 w:bidi="ar-SA"/>
        </w:rPr>
        <w:t xml:space="preserve"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 w:bidi="ar-SA"/>
        </w:rPr>
        <w:t xml:space="preserve">各位代表：2023年预算工作任务艰巨繁重，我们将认真贯彻落实本次会议决议，在市委的正确领导下，在市人大、市政协和社会各界的监督下，守土负责、守土尽责，扎实做好2023年的预算执行和各项财政工作，确保圆满完成2023年预算目标，为打造“汉襄肱骨、神韵随州”作出更大贡献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 w:bidi="ar-SA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640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附件：随州市2022年预算执行情况和2023年预算草案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r>
    </w:p>
    <w:p>
      <w:pPr>
        <w:keepNext w:val="false"/>
        <w:keepLines w:val="false"/>
        <w:pageBreakBefore w:val="false"/>
        <w:widowControl w:val="false"/>
        <w:pBdr/>
        <w:spacing w:line="620" w:lineRule="exact"/>
        <w:ind w:firstLine="1050"/>
        <w:rPr>
          <w:rFonts w:hint="default" w:ascii="Times New Roman" w:hAnsi="Times New Roman" w:cs="Times New Roman"/>
          <w:color w:val="auto"/>
          <w:highlight w:val="none"/>
        </w:rPr>
      </w:pPr>
      <w:r/>
      <w:bookmarkStart w:id="10" w:name="_GoBack"/>
      <w:r/>
      <w:bookmarkEnd w:id="10"/>
      <w:r/>
      <w:r>
        <w:rPr>
          <w:rFonts w:hint="default" w:ascii="Times New Roman" w:hAnsi="Times New Roman" w:cs="Times New Roman"/>
          <w:color w:val="auto"/>
          <w:highlight w:val="none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h="16838" w:orient="landscape" w:w="11905"/>
      <w:pgMar w:top="1984" w:right="1587" w:bottom="1814" w:left="1587" w:header="851" w:footer="141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仿宋">
    <w:panose1 w:val="02010609060101010101"/>
  </w:font>
  <w:font w:name="楷体_GB2312">
    <w:panose1 w:val="02010609060101010101"/>
  </w:font>
  <w:font w:name="方正大标宋简体">
    <w:panose1 w:val="020B0604020202020204"/>
  </w:font>
  <w:font w:name="Symbol">
    <w:panose1 w:val="05050102010706020507"/>
  </w:font>
  <w:font w:name="Wingdings">
    <w:panose1 w:val="05000000000000000000"/>
  </w:font>
  <w:font w:name="方正仿宋简体">
    <w:panose1 w:val="020B0604020202020204"/>
  </w:font>
  <w:font w:name="仿宋_GB2312">
    <w:panose1 w:val="02010609060101010101"/>
  </w:font>
  <w:font w:name="Arial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pBdr/>
      <w:spacing/>
      <w:ind w:right="360" w:firstLine="360"/>
      <w:rPr/>
    </w:pPr>
    <w:r>
      <w:rPr>
        <w:sz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97"/>
                            <w:pBdr/>
                            <w:spacing/>
                            <w:ind/>
                            <w:rPr>
                              <w:rStyle w:val="700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700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00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00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700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  <w:r>
                            <w:rPr>
                              <w:rStyle w:val="700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outside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697"/>
                      <w:pBdr/>
                      <w:spacing/>
                      <w:ind/>
                      <w:rPr>
                        <w:rStyle w:val="700"/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Style w:val="700"/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00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00"/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700"/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  <w:r>
                      <w:rPr>
                        <w:rStyle w:val="700"/>
                        <w:rFonts w:hint="default" w:ascii="Times New Roman" w:hAnsi="Times New Roman" w:cs="Times New Roman"/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framePr w:hAnchor="margin" w:vAnchor="text" w:wrap="around" w:xAlign="outside" w:y="1"/>
      <w:pBdr/>
      <w:spacing/>
      <w:ind/>
      <w:rPr>
        <w:rStyle w:val="700"/>
      </w:rPr>
    </w:pPr>
    <w:r>
      <w:fldChar w:fldCharType="begin"/>
    </w:r>
    <w:r>
      <w:rPr>
        <w:rStyle w:val="700"/>
      </w:rPr>
      <w:instrText xml:space="preserve">PAGE  </w:instrText>
    </w:r>
    <w:r>
      <w:fldChar w:fldCharType="end"/>
    </w:r>
    <w:r>
      <w:rPr>
        <w:rStyle w:val="700"/>
      </w:rPr>
    </w:r>
  </w:p>
  <w:p>
    <w:pPr>
      <w:pStyle w:val="697"/>
      <w:pBdr/>
      <w:spacing/>
      <w:ind w:right="360" w:firstLine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>
        <w:bottom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pBdr>
        <w:bottom w:val="none" w:color="000000" w:sz="0" w:space="0"/>
      </w:pBdr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93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93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93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93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93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93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93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93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93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9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92"/>
    <w:next w:val="69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9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9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93"/>
    <w:link w:val="698"/>
    <w:uiPriority w:val="99"/>
    <w:pPr>
      <w:pBdr/>
      <w:spacing/>
      <w:ind/>
    </w:pPr>
  </w:style>
  <w:style w:type="character" w:styleId="45">
    <w:name w:val="Footer Char"/>
    <w:basedOn w:val="693"/>
    <w:link w:val="697"/>
    <w:uiPriority w:val="99"/>
    <w:pPr>
      <w:pBdr/>
      <w:spacing/>
      <w:ind/>
    </w:pPr>
  </w:style>
  <w:style w:type="paragraph" w:styleId="46">
    <w:name w:val="Caption"/>
    <w:basedOn w:val="692"/>
    <w:next w:val="6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7"/>
    <w:uiPriority w:val="99"/>
    <w:pPr>
      <w:pBdr/>
      <w:spacing/>
      <w:ind/>
    </w:pPr>
  </w:style>
  <w:style w:type="table" w:styleId="48">
    <w:name w:val="Table Grid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9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9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9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92"/>
    <w:next w:val="69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92"/>
    <w:next w:val="69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92"/>
    <w:next w:val="69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92"/>
    <w:next w:val="69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92"/>
    <w:next w:val="69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92"/>
    <w:next w:val="69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92"/>
    <w:next w:val="69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92"/>
    <w:next w:val="69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92"/>
    <w:next w:val="692"/>
    <w:uiPriority w:val="99"/>
    <w:unhideWhenUsed/>
    <w:pPr>
      <w:pBdr/>
      <w:spacing w:after="0" w:afterAutospacing="0"/>
      <w:ind/>
    </w:pPr>
  </w:style>
  <w:style w:type="paragraph" w:styleId="692" w:default="1">
    <w:name w:val="Normal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93" w:default="1">
    <w:name w:val="Default Paragraph Font"/>
    <w:link w:val="699"/>
    <w:uiPriority w:val="0"/>
    <w:semiHidden/>
    <w:qFormat/>
    <w:pPr>
      <w:pBdr/>
      <w:spacing/>
      <w:ind/>
    </w:pPr>
  </w:style>
  <w:style w:type="table" w:styleId="694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95">
    <w:name w:val="Plain Text"/>
    <w:basedOn w:val="692"/>
    <w:uiPriority w:val="0"/>
    <w:qFormat/>
    <w:pPr>
      <w:pBdr/>
      <w:spacing/>
      <w:ind/>
    </w:pPr>
    <w:rPr>
      <w:rFonts w:ascii="仿宋_GB2312" w:hAnsi="Courier New" w:eastAsia="仿宋_GB2312" w:cs="Courier New"/>
      <w:sz w:val="32"/>
      <w:szCs w:val="21"/>
    </w:rPr>
  </w:style>
  <w:style w:type="paragraph" w:styleId="696">
    <w:name w:val="Balloon Text"/>
    <w:basedOn w:val="692"/>
    <w:uiPriority w:val="0"/>
    <w:semiHidden/>
    <w:qFormat/>
    <w:pPr>
      <w:pBdr/>
      <w:spacing/>
      <w:ind/>
    </w:pPr>
    <w:rPr>
      <w:sz w:val="18"/>
      <w:szCs w:val="18"/>
    </w:rPr>
  </w:style>
  <w:style w:type="paragraph" w:styleId="697">
    <w:name w:val="Footer"/>
    <w:basedOn w:val="692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98">
    <w:name w:val="Header"/>
    <w:basedOn w:val="692"/>
    <w:uiPriority w:val="0"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99" w:customStyle="1">
    <w:name w:val="Char"/>
    <w:basedOn w:val="692"/>
    <w:link w:val="693"/>
    <w:uiPriority w:val="0"/>
    <w:qFormat/>
    <w:pPr>
      <w:pBdr/>
      <w:spacing/>
      <w:ind/>
    </w:pPr>
    <w:rPr>
      <w:rFonts w:ascii="Times New Roman" w:hAnsi="Times New Roman" w:eastAsia="仿宋_GB2312"/>
      <w:sz w:val="32"/>
    </w:rPr>
  </w:style>
  <w:style w:type="character" w:styleId="700">
    <w:name w:val="page number"/>
    <w:uiPriority w:val="0"/>
    <w:qFormat/>
    <w:pPr>
      <w:pBdr/>
      <w:spacing/>
      <w:ind/>
    </w:pPr>
  </w:style>
  <w:style w:type="paragraph" w:styleId="701" w:customStyle="1">
    <w:name w:val="Body text|6"/>
    <w:basedOn w:val="692"/>
    <w:uiPriority w:val="0"/>
    <w:qFormat/>
    <w:pPr>
      <w:widowControl w:val="false"/>
      <w:pBdr/>
      <w:shd w:val="clear" w:color="auto" w:fill="auto"/>
      <w:spacing w:after="180"/>
      <w:ind/>
    </w:pPr>
    <w:rPr>
      <w:rFonts w:ascii="宋体" w:hAnsi="宋体" w:eastAsia="宋体" w:cs="宋体"/>
      <w:color w:val="3c5a8e"/>
      <w:sz w:val="90"/>
      <w:szCs w:val="90"/>
      <w:u w:val="none"/>
      <w:shd w:val="clear" w:color="auto" w:fill="auto"/>
      <w:lang w:val="zh-TW" w:eastAsia="zh-TW" w:bidi="zh-TW"/>
    </w:rPr>
  </w:style>
  <w:style w:type="paragraph" w:styleId="702" w:customStyle="1">
    <w:name w:val="Body Text Indent"/>
    <w:basedOn w:val="692"/>
    <w:uiPriority w:val="0"/>
    <w:qFormat/>
    <w:pPr>
      <w:pBdr/>
      <w:spacing w:after="120" w:afterAutospacing="0"/>
      <w:ind w:left="420"/>
    </w:pPr>
  </w:style>
  <w:style w:type="paragraph" w:styleId="703" w:customStyle="1">
    <w:name w:val="Body Text First Indent 2"/>
    <w:basedOn w:val="702"/>
    <w:uiPriority w:val="0"/>
    <w:qFormat/>
    <w:pPr>
      <w:widowControl w:val="false"/>
      <w:pBdr/>
      <w:spacing/>
      <w:ind w:left="0"/>
      <w:jc w:val="both"/>
    </w:pPr>
    <w:rPr>
      <w:rFonts w:ascii="Calibri" w:hAnsi="Calibri" w:eastAsia="方正仿宋简体" w:cs="Times New Roman"/>
      <w:szCs w:val="22"/>
    </w:rPr>
  </w:style>
  <w:style w:type="numbering" w:styleId="293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 China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关于随州市2016年财政预算执行情况</dc:title>
  <dc:creator>User</dc:creator>
  <cp:lastModifiedBy>匿名</cp:lastModifiedBy>
  <cp:revision>5</cp:revision>
  <dcterms:created xsi:type="dcterms:W3CDTF">2018-01-09T10:55:00Z</dcterms:created>
  <dcterms:modified xsi:type="dcterms:W3CDTF">2025-05-28T09:15:46Z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SaveFontToCloudKey">
    <vt:lpwstr>625596531_btnclosed</vt:lpwstr>
  </property>
  <property fmtid="{D5CDD505-2E9C-101B-9397-08002B2CF9AE}" pid="4" name="ICV">
    <vt:lpwstr>4810A10873CE494F83CC8260A98306FE</vt:lpwstr>
  </property>
</Properties>
</file>