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620" w:lineRule="exact"/>
        <w:ind/>
        <w:jc w:val="center"/>
        <w:rPr>
          <w:rFonts w:hint="default" w:ascii="Times New Roman" w:hAnsi="Times New Roman" w:eastAsia="方正大标宋简体" w:cs="Times New Roman"/>
          <w:b w:val="0"/>
          <w:bCs w:val="0"/>
          <w:sz w:val="36"/>
          <w:szCs w:val="36"/>
        </w:rPr>
      </w:pPr>
      <w:r>
        <w:rPr>
          <w:rFonts w:hint="default" w:ascii="Times New Roman" w:hAnsi="Times New Roman" w:eastAsia="方正大标宋简体" w:cs="Times New Roman"/>
          <w:b w:val="0"/>
          <w:bCs w:val="0"/>
          <w:sz w:val="36"/>
          <w:szCs w:val="36"/>
        </w:rPr>
        <w:t xml:space="preserve">随州市部门整体支出绩效评价共性指标自评表（表1）</w:t>
      </w:r>
      <w:r>
        <w:rPr>
          <w:rFonts w:hint="default" w:ascii="Times New Roman" w:hAnsi="Times New Roman" w:eastAsia="方正大标宋简体" w:cs="Times New Roman"/>
          <w:b w:val="0"/>
          <w:bCs w:val="0"/>
          <w:sz w:val="36"/>
          <w:szCs w:val="36"/>
        </w:rPr>
      </w:r>
    </w:p>
    <w:p>
      <w:pPr>
        <w:pBdr/>
        <w:spacing w:line="200" w:lineRule="exact"/>
        <w:ind/>
        <w:rPr>
          <w:rFonts w:ascii="宋体" w:hAnsi="宋体"/>
          <w:sz w:val="24"/>
          <w:szCs w:val="24"/>
        </w:rPr>
      </w:pPr>
      <w:r>
        <w:rPr>
          <w:rFonts w:hint="eastAsia" w:ascii="宋体" w:hAnsi="宋体"/>
          <w:sz w:val="24"/>
          <w:szCs w:val="24"/>
        </w:rPr>
        <w:t xml:space="preserve"> </w:t>
      </w:r>
      <w:r>
        <w:rPr>
          <w:rFonts w:ascii="宋体" w:hAnsi="宋体"/>
          <w:sz w:val="24"/>
          <w:szCs w:val="24"/>
        </w:rPr>
      </w:r>
    </w:p>
    <w:p>
      <w:pPr>
        <w:keepNext w:val="false"/>
        <w:keepLines w:val="false"/>
        <w:pageBreakBefore w:val="false"/>
        <w:widowControl w:val="false"/>
        <w:pBdr/>
        <w:spacing w:line="300" w:lineRule="exact"/>
        <w:ind/>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单位（公章）： </w:t>
      </w:r>
      <w:r>
        <w:rPr>
          <w:rFonts w:hint="eastAsia" w:ascii="Times New Roman" w:hAnsi="Times New Roman" w:cs="Times New Roman" w:eastAsiaTheme="minorEastAsia"/>
          <w:sz w:val="20"/>
          <w:szCs w:val="20"/>
          <w:lang w:eastAsia="zh-CN"/>
        </w:rPr>
        <w:t xml:space="preserve">随州市急救中心</w:t>
      </w:r>
      <w:r>
        <w:rPr>
          <w:rFonts w:hint="default" w:ascii="Times New Roman" w:hAnsi="Times New Roman" w:cs="Times New Roman" w:eastAsiaTheme="minorEastAsia"/>
          <w:sz w:val="20"/>
          <w:szCs w:val="20"/>
        </w:rPr>
        <w:t xml:space="preserve">           自评总分：</w:t>
      </w:r>
      <w:r>
        <w:rPr>
          <w:rFonts w:hint="eastAsia" w:ascii="Times New Roman" w:hAnsi="Times New Roman" w:cs="Times New Roman" w:eastAsiaTheme="minorEastAsia"/>
          <w:sz w:val="20"/>
          <w:szCs w:val="20"/>
          <w:lang w:val="en-US" w:eastAsia="zh-CN"/>
        </w:rPr>
        <w:t xml:space="preserve">28</w:t>
      </w:r>
      <w:r>
        <w:rPr>
          <w:rFonts w:hint="default" w:ascii="Times New Roman" w:hAnsi="Times New Roman" w:cs="Times New Roman" w:eastAsiaTheme="minorEastAsia"/>
          <w:sz w:val="20"/>
          <w:szCs w:val="20"/>
        </w:rPr>
        <w:t xml:space="preserve">                </w:t>
      </w:r>
      <w:r>
        <w:rPr>
          <w:rFonts w:hint="default" w:ascii="Times New Roman" w:hAnsi="Times New Roman" w:cs="Times New Roman" w:eastAsiaTheme="minorEastAsia"/>
          <w:sz w:val="20"/>
          <w:szCs w:val="20"/>
        </w:rPr>
      </w:r>
    </w:p>
    <w:tbl>
      <w:tblPr>
        <w:tblStyle w:val="65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661"/>
        <w:gridCol w:w="637"/>
        <w:gridCol w:w="636"/>
        <w:gridCol w:w="2751"/>
        <w:gridCol w:w="400"/>
        <w:gridCol w:w="506"/>
        <w:gridCol w:w="507"/>
        <w:gridCol w:w="3522"/>
      </w:tblGrid>
      <w:tr>
        <w:trPr>
          <w:jc w:val="center"/>
          <w:trHeight w:val="658"/>
          <w:tblHeader/>
        </w:trPr>
        <w:tc>
          <w:tcPr>
            <w:tcBorders/>
            <w:tcW w:w="661"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一级</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w:t>
            </w:r>
            <w:r>
              <w:rPr>
                <w:rFonts w:hint="eastAsia" w:ascii="黑体" w:hAnsi="黑体" w:eastAsia="黑体" w:cs="黑体"/>
                <w:b w:val="0"/>
                <w:bCs w:val="0"/>
                <w:sz w:val="20"/>
                <w:szCs w:val="20"/>
              </w:rPr>
            </w:r>
          </w:p>
        </w:tc>
        <w:tc>
          <w:tcPr>
            <w:tcBorders/>
            <w:tcW w:w="637"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二级</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w:t>
            </w:r>
            <w:r>
              <w:rPr>
                <w:rFonts w:hint="eastAsia" w:ascii="黑体" w:hAnsi="黑体" w:eastAsia="黑体" w:cs="黑体"/>
                <w:b w:val="0"/>
                <w:bCs w:val="0"/>
                <w:sz w:val="20"/>
                <w:szCs w:val="20"/>
              </w:rPr>
            </w:r>
          </w:p>
        </w:tc>
        <w:tc>
          <w:tcPr>
            <w:tcBorders/>
            <w:tcW w:w="636"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三级</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w:t>
            </w:r>
            <w:r>
              <w:rPr>
                <w:rFonts w:hint="eastAsia" w:ascii="黑体" w:hAnsi="黑体" w:eastAsia="黑体" w:cs="黑体"/>
                <w:b w:val="0"/>
                <w:bCs w:val="0"/>
                <w:sz w:val="20"/>
                <w:szCs w:val="20"/>
              </w:rPr>
            </w:r>
          </w:p>
        </w:tc>
        <w:tc>
          <w:tcPr>
            <w:tcBorders/>
            <w:tcW w:w="2751" w:type="dxa"/>
            <w:vAlign w:val="center"/>
            <w:textDirection w:val="lrTb"/>
            <w:noWrap w:val="false"/>
          </w:tcPr>
          <w:p>
            <w:pPr>
              <w:widowControl w:val="true"/>
              <w:pBdr/>
              <w:spacing w:line="260" w:lineRule="exact"/>
              <w:ind w:right="-63" w:left="-63"/>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四级指标</w:t>
            </w:r>
            <w:r>
              <w:rPr>
                <w:rFonts w:hint="eastAsia" w:ascii="黑体" w:hAnsi="黑体" w:eastAsia="黑体" w:cs="黑体"/>
                <w:b w:val="0"/>
                <w:bCs w:val="0"/>
                <w:sz w:val="20"/>
                <w:szCs w:val="20"/>
              </w:rPr>
            </w:r>
          </w:p>
        </w:tc>
        <w:tc>
          <w:tcPr>
            <w:tcBorders/>
            <w:tcW w:w="400"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分</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值</w:t>
            </w:r>
            <w:r>
              <w:rPr>
                <w:rFonts w:hint="eastAsia" w:ascii="黑体" w:hAnsi="黑体" w:eastAsia="黑体" w:cs="黑体"/>
                <w:b w:val="0"/>
                <w:bCs w:val="0"/>
                <w:sz w:val="20"/>
                <w:szCs w:val="20"/>
              </w:rPr>
            </w:r>
          </w:p>
        </w:tc>
        <w:tc>
          <w:tcPr>
            <w:tcBorders/>
            <w:tcW w:w="506"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自评分</w:t>
            </w:r>
            <w:r>
              <w:rPr>
                <w:rFonts w:hint="eastAsia" w:ascii="黑体" w:hAnsi="黑体" w:eastAsia="黑体" w:cs="黑体"/>
                <w:b w:val="0"/>
                <w:bCs w:val="0"/>
                <w:sz w:val="20"/>
                <w:szCs w:val="20"/>
              </w:rPr>
            </w:r>
          </w:p>
        </w:tc>
        <w:tc>
          <w:tcPr>
            <w:tcBorders/>
            <w:tcW w:w="507"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复核得分</w:t>
            </w:r>
            <w:r>
              <w:rPr>
                <w:rFonts w:hint="eastAsia" w:ascii="黑体" w:hAnsi="黑体" w:eastAsia="黑体" w:cs="黑体"/>
                <w:b w:val="0"/>
                <w:bCs w:val="0"/>
                <w:sz w:val="20"/>
                <w:szCs w:val="20"/>
              </w:rPr>
            </w:r>
          </w:p>
        </w:tc>
        <w:tc>
          <w:tcPr>
            <w:tcBorders/>
            <w:tcW w:w="3522" w:type="dxa"/>
            <w:vAlign w:val="center"/>
            <w:textDirection w:val="lrTb"/>
            <w:noWrap w:val="false"/>
          </w:tcPr>
          <w:p>
            <w:pPr>
              <w:widowControl w:val="true"/>
              <w:pBdr/>
              <w:spacing w:line="260" w:lineRule="exact"/>
              <w:ind w:right="-63" w:left="-63"/>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指标说明</w:t>
            </w:r>
            <w:r>
              <w:rPr>
                <w:rFonts w:hint="eastAsia" w:ascii="黑体" w:hAnsi="黑体" w:eastAsia="黑体" w:cs="黑体"/>
                <w:b w:val="0"/>
                <w:bCs w:val="0"/>
                <w:sz w:val="20"/>
                <w:szCs w:val="20"/>
              </w:rPr>
            </w:r>
          </w:p>
        </w:tc>
      </w:tr>
      <w:tr>
        <w:trPr>
          <w:jc w:val="center"/>
          <w:trHeight w:val="1556"/>
        </w:trPr>
        <w:tc>
          <w:tcPr>
            <w:tcBorders/>
            <w:tcW w:w="661" w:type="dxa"/>
            <w:vAlign w:val="center"/>
            <w:vMerge w:val="restart"/>
            <w:textDirection w:val="lrTb"/>
            <w:noWrap/>
          </w:tcPr>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投   入  (5分）</w:t>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目标设定（2分）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绩效目标合理性</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部门（单位）所设立的整体绩效目标依据是否充分，是否符合客观实际，用以反映和考核部门（单位）整体绩效目标与部门履职、年度工作任务的相符性情况。</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1</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0</w:t>
            </w:r>
            <w:r>
              <w:rPr>
                <w:rFonts w:hint="eastAsia"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评价要点：</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①是否符合国家法律法规、国民经济和社会发展总体规划；</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②是否符合部门“三定”方案确定的职责；</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③是否符合部门制定的</w:t>
            </w:r>
            <w:r>
              <w:rPr>
                <w:rFonts w:hint="default" w:ascii="Times New Roman" w:hAnsi="Times New Roman" w:cs="Times New Roman" w:eastAsiaTheme="minorEastAsia"/>
                <w:spacing w:val="-10"/>
                <w:sz w:val="20"/>
                <w:szCs w:val="20"/>
              </w:rPr>
              <w:t xml:space="preserve">年度工作规划。</w:t>
            </w:r>
            <w:r>
              <w:rPr>
                <w:rFonts w:hint="default" w:ascii="Times New Roman" w:hAnsi="Times New Roman" w:cs="Times New Roman" w:eastAsiaTheme="minorEastAsia"/>
                <w:sz w:val="20"/>
                <w:szCs w:val="20"/>
              </w:rPr>
            </w:r>
          </w:p>
        </w:tc>
      </w:tr>
      <w:tr>
        <w:trPr>
          <w:jc w:val="center"/>
          <w:trHeight w:val="2051"/>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绩效指标明确性</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部门（单位）依据整体绩效目标所设定的绩效指标是否清晰、细化、可衡量，用以反映和考核部门（单位）整体绩效目标的明细化情况。</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1</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1</w:t>
            </w:r>
            <w:r>
              <w:rPr>
                <w:rFonts w:hint="eastAsia"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评价要点：</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①是否将部门整体的绩效目标细化分解为具体的工作任务；</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②是否通过清晰、可衡量的指标值予以体现；</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③是否与部门年度的任务数或计划数相对应；</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④是否与本年度部门预算资金相匹配。</w:t>
            </w:r>
            <w:r>
              <w:rPr>
                <w:rFonts w:hint="default" w:ascii="Times New Roman" w:hAnsi="Times New Roman" w:cs="Times New Roman" w:eastAsiaTheme="minorEastAsia"/>
                <w:sz w:val="20"/>
                <w:szCs w:val="20"/>
              </w:rPr>
            </w:r>
          </w:p>
        </w:tc>
      </w:tr>
      <w:tr>
        <w:trPr>
          <w:jc w:val="center"/>
          <w:trHeight w:val="1726"/>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预算</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配置（3分）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在职人员控制率</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部门（单位）本年度实际在职人员数与编制数的比率，用以反映和考核部门（单位）对人员成本的控制程度。</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1</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1</w:t>
            </w:r>
            <w:r>
              <w:rPr>
                <w:rFonts w:hint="eastAsia"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在职人员控制率=（在职人员数/编制数）×100%；</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在职人员数：部门（单位）实际在职人数，以财政部确定的部门决算编制口径为准；</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编制数：机构编制部门核定批复的部门（单位）的人员编制数。</w:t>
            </w:r>
            <w:r>
              <w:rPr>
                <w:rFonts w:hint="default" w:ascii="Times New Roman" w:hAnsi="Times New Roman" w:cs="Times New Roman" w:eastAsiaTheme="minorEastAsia"/>
                <w:sz w:val="20"/>
                <w:szCs w:val="20"/>
              </w:rPr>
            </w:r>
          </w:p>
        </w:tc>
      </w:tr>
      <w:tr>
        <w:trPr>
          <w:jc w:val="center"/>
          <w:trHeight w:val="1632"/>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“三公”经费变动率</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部门（单位）本年度“三公”经费预算数与上年度“三公”经费预算数的变动比率，用以反映和考核部门（单位）对控制重点行政成本的努力程度。</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2</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2</w:t>
            </w:r>
            <w:r>
              <w:rPr>
                <w:rFonts w:hint="default"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“三公”经费变动率=[（本年度“三公”经费总额-上年度“三公”经费总额）/上年度“三公”经费总额]×100%。</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“三公”经费：年度预算安排的因公出国（境）费、公务车辆购置及运行费和公务招待费。</w:t>
            </w:r>
            <w:r>
              <w:rPr>
                <w:rFonts w:hint="default" w:ascii="Times New Roman" w:hAnsi="Times New Roman" w:cs="Times New Roman" w:eastAsiaTheme="minorEastAsia"/>
                <w:sz w:val="20"/>
                <w:szCs w:val="20"/>
              </w:rPr>
            </w:r>
          </w:p>
        </w:tc>
      </w:tr>
      <w:tr>
        <w:trPr>
          <w:jc w:val="center"/>
          <w:trHeight w:val="1389"/>
        </w:trPr>
        <w:tc>
          <w:tcPr>
            <w:tcBorders/>
            <w:tcW w:w="661" w:type="dxa"/>
            <w:vAlign w:val="center"/>
            <w:vMerge w:val="restart"/>
            <w:textDirection w:val="lrTb"/>
            <w:noWrap w:val="false"/>
          </w:tcPr>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过 程</w:t>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过</w:t>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程（25分）</w:t>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预算执行（9分）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right="0" w:left="0"/>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公用经费控制率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部门（单位）本年度实际支出的公用经费总额与预算安排的公用经费总额的比率，用以反映和考核部门（单位）对机构运转成本的实际控制程度。</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0" w:left="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3</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公用经费控制率=（实际支出公用经费总额/预算安排公用经费总额）×100%。</w:t>
            </w:r>
            <w:r>
              <w:rPr>
                <w:rFonts w:hint="default" w:ascii="Times New Roman" w:hAnsi="Times New Roman" w:cs="Times New Roman" w:eastAsiaTheme="minorEastAsia"/>
                <w:b w:val="0"/>
                <w:bCs w:val="0"/>
                <w:sz w:val="20"/>
                <w:szCs w:val="20"/>
              </w:rPr>
            </w:r>
          </w:p>
        </w:tc>
      </w:tr>
      <w:tr>
        <w:trPr>
          <w:jc w:val="center"/>
          <w:trHeight w:val="1452"/>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right="0" w:left="0"/>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“三公”经费控制率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部门（单位）本年度“三公”经费实际支出数与预算安排数的比率，用以反映和考核部门（单位）对“三公”经费的实际控制程度。</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0" w:left="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3</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“三公”经费控制率=（“三公”经费实际支出数/“三公”经费预算安排数）×100%。</w:t>
            </w:r>
            <w:r>
              <w:rPr>
                <w:rFonts w:hint="default" w:ascii="Times New Roman" w:hAnsi="Times New Roman" w:cs="Times New Roman" w:eastAsiaTheme="minorEastAsia"/>
                <w:b w:val="0"/>
                <w:bCs w:val="0"/>
                <w:sz w:val="20"/>
                <w:szCs w:val="20"/>
              </w:rPr>
            </w:r>
          </w:p>
        </w:tc>
      </w:tr>
      <w:tr>
        <w:trPr>
          <w:jc w:val="center"/>
          <w:trHeight w:val="1317"/>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right="0" w:left="0"/>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政府采购执行率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部门（单位）本年度实际政府采购金额与年初政府采购预算的比率，用以反映和考核部门（单位）政府采购预算执行情况。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0" w:left="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3</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政府采购执行率=（实际政府采购金额/政府采购预算数）×100%；</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政府采购预算：采购机关根据事业发展计划和行政任务编制的、并经过规定程序批准的年度政府采购计划。 </w:t>
            </w:r>
            <w:r>
              <w:rPr>
                <w:rFonts w:hint="default" w:ascii="Times New Roman" w:hAnsi="Times New Roman" w:cs="Times New Roman" w:eastAsiaTheme="minorEastAsia"/>
                <w:b w:val="0"/>
                <w:bCs w:val="0"/>
                <w:sz w:val="20"/>
                <w:szCs w:val="20"/>
              </w:rPr>
            </w:r>
          </w:p>
        </w:tc>
      </w:tr>
      <w:tr>
        <w:trPr>
          <w:jc w:val="center"/>
          <w:trHeight w:val="156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预算管理（9分）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管理制度健全性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部门（单位）为加强预算管理、规范财务行为而制定的管理制度是否健全完整，用以反映和考核部门（单位）预算管理制度对完成主要职责或促进事业发展的保障情况。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2</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①是否已制定或具有</w:t>
            </w:r>
            <w:r>
              <w:rPr>
                <w:rFonts w:hint="eastAsia" w:ascii="Times New Roman" w:hAnsi="Times New Roman" w:cs="Times New Roman" w:eastAsiaTheme="minorEastAsia"/>
                <w:b w:val="0"/>
                <w:bCs w:val="0"/>
                <w:sz w:val="20"/>
                <w:szCs w:val="20"/>
                <w:lang w:eastAsia="zh-CN"/>
              </w:rPr>
              <w:t xml:space="preserve">预算绩效管理实施细则或流程、</w:t>
            </w:r>
            <w:r>
              <w:rPr>
                <w:rFonts w:hint="default" w:ascii="Times New Roman" w:hAnsi="Times New Roman" w:cs="Times New Roman" w:eastAsiaTheme="minorEastAsia"/>
                <w:b w:val="0"/>
                <w:bCs w:val="0"/>
                <w:sz w:val="20"/>
                <w:szCs w:val="20"/>
              </w:rPr>
              <w:t xml:space="preserve">预算资金管理办法、内部财务管理制度、会计核算制度等管理制度；</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②相关管理制度是否得到有效执行。</w:t>
            </w:r>
            <w:r>
              <w:rPr>
                <w:rFonts w:hint="default" w:ascii="Times New Roman" w:hAnsi="Times New Roman" w:cs="Times New Roman" w:eastAsiaTheme="minorEastAsia"/>
                <w:b w:val="0"/>
                <w:bCs w:val="0"/>
                <w:sz w:val="20"/>
                <w:szCs w:val="20"/>
              </w:rPr>
            </w:r>
          </w:p>
        </w:tc>
      </w:tr>
      <w:tr>
        <w:trPr>
          <w:jc w:val="center"/>
          <w:trHeight w:val="2485"/>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资金使用合规性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部门（单位）使用预算资金是否符合相关的预算财务管理制度的规定，用以反映和考核部门（单位）预算资金的规范运行情况。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4</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4</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①是否符合国家财经法规和财务管理制度规定以及有关专项资金管理办法的规定；</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②资金的拨付是否有完整的审批程序和手续；</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③项目的重大开支是否经过评估论证；</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④是否符合部门预算批复的用途；</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⑤是否存在截留、挤占、挪用、虚列支出等情况。</w:t>
            </w:r>
            <w:r>
              <w:rPr>
                <w:rFonts w:hint="default" w:ascii="Times New Roman" w:hAnsi="Times New Roman" w:cs="Times New Roman" w:eastAsiaTheme="minorEastAsia"/>
                <w:b w:val="0"/>
                <w:bCs w:val="0"/>
                <w:sz w:val="20"/>
                <w:szCs w:val="20"/>
              </w:rPr>
            </w:r>
          </w:p>
        </w:tc>
      </w:tr>
      <w:tr>
        <w:trPr>
          <w:jc w:val="center"/>
          <w:trHeight w:val="142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预决算信息公开性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部门（单位）是否按照政府信息公开有关规定公开相关预决算信息，用以反映和考核部门（单位）预决算管理的公开透明情况。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2</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2</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①是否按规定内容公开预决算信息；</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②是否按规定时限公开预决算信息。</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预决算信息是指与部门预算、执行、决算、监督、绩效等管理相关的信息。</w:t>
            </w:r>
            <w:r>
              <w:rPr>
                <w:rFonts w:hint="default" w:ascii="Times New Roman" w:hAnsi="Times New Roman" w:cs="Times New Roman" w:eastAsiaTheme="minorEastAsia"/>
                <w:b w:val="0"/>
                <w:bCs w:val="0"/>
                <w:sz w:val="20"/>
                <w:szCs w:val="20"/>
              </w:rPr>
            </w:r>
          </w:p>
        </w:tc>
      </w:tr>
      <w:tr>
        <w:trPr>
          <w:jc w:val="center"/>
          <w:trHeight w:val="171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资产</w:t>
            </w:r>
            <w:r>
              <w:rPr>
                <w:rFonts w:hint="default" w:ascii="Times New Roman" w:hAnsi="Times New Roman" w:cs="Times New Roman" w:eastAsiaTheme="minorEastAsia"/>
                <w:sz w:val="20"/>
                <w:szCs w:val="20"/>
              </w:rPr>
            </w:r>
          </w:p>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管理</w:t>
            </w:r>
            <w:r>
              <w:rPr>
                <w:rFonts w:hint="eastAsia" w:ascii="Times New Roman" w:hAnsi="Times New Roman" w:cs="Times New Roman" w:eastAsiaTheme="minorEastAsia"/>
                <w:sz w:val="20"/>
                <w:szCs w:val="20"/>
                <w:lang w:eastAsia="zh-CN"/>
              </w:rPr>
              <w:t xml:space="preserve">（</w:t>
            </w:r>
            <w:r>
              <w:rPr>
                <w:rFonts w:hint="default" w:ascii="Times New Roman" w:hAnsi="Times New Roman" w:cs="Times New Roman" w:eastAsiaTheme="minorEastAsia"/>
                <w:sz w:val="20"/>
                <w:szCs w:val="20"/>
              </w:rPr>
              <w:t xml:space="preserve">7分）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管理制度健全性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部门（单位）为加强资产管理、规范资产管理行为而制定的管理制度是否健全完整，用以反映和考核部门（单位）资产管理制度对完成主要职责或促进社会发展的保障情况。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2</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2</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①是否有资产管理制度；           </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②相关资产管理制度是否得到有效执行。</w:t>
            </w:r>
            <w:r>
              <w:rPr>
                <w:rFonts w:hint="default" w:ascii="Times New Roman" w:hAnsi="Times New Roman" w:cs="Times New Roman" w:eastAsiaTheme="minorEastAsia"/>
                <w:b w:val="0"/>
                <w:bCs w:val="0"/>
                <w:sz w:val="20"/>
                <w:szCs w:val="20"/>
              </w:rPr>
            </w:r>
          </w:p>
        </w:tc>
      </w:tr>
      <w:tr>
        <w:trPr>
          <w:jc w:val="center"/>
          <w:trHeight w:val="145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资产管理安全性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部门（单位）的资产是否保存完整、使用合规、配置合理、处置规范、收入及时足额上缴，用以反映和考核部门（单位）资产安全运行情况。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4</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4</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评价要点：①资产保存是否完整；②资产配置是否合理；③资产处置是否规范；④资产账务管理是否合规，是否帐实相符；⑤资产是否有偿使用及处置收入及时足额上缴。</w:t>
            </w:r>
            <w:r>
              <w:rPr>
                <w:rFonts w:hint="default" w:ascii="Times New Roman" w:hAnsi="Times New Roman" w:cs="Times New Roman" w:eastAsiaTheme="minorEastAsia"/>
                <w:b w:val="0"/>
                <w:bCs w:val="0"/>
                <w:sz w:val="20"/>
                <w:szCs w:val="20"/>
              </w:rPr>
            </w:r>
          </w:p>
        </w:tc>
      </w:tr>
      <w:tr>
        <w:trPr>
          <w:jc w:val="center"/>
          <w:trHeight w:val="119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固定资产利用率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部门（单位）实际在用固定资产总额与所有固定资产总额的比率，用以反映和考核部门（单位）固定资产使用效率程度。</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1</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jc w:val="center"/>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1</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固定资产利用率=（实际在用固定资产总额/所有固定资产总额）×100%。</w:t>
            </w:r>
            <w:r>
              <w:rPr>
                <w:rFonts w:hint="default" w:ascii="Times New Roman" w:hAnsi="Times New Roman" w:cs="Times New Roman" w:eastAsiaTheme="minorEastAsia"/>
                <w:b w:val="0"/>
                <w:bCs w:val="0"/>
                <w:sz w:val="20"/>
                <w:szCs w:val="20"/>
              </w:rPr>
            </w:r>
          </w:p>
        </w:tc>
      </w:tr>
      <w:tr>
        <w:trPr>
          <w:jc w:val="center"/>
          <w:trHeight w:val="443"/>
        </w:trPr>
        <w:tc>
          <w:tcPr>
            <w:tcBorders/>
            <w:tcW w:w="661" w:type="dxa"/>
            <w:vAlign w:val="center"/>
            <w:textDirection w:val="lrTb"/>
            <w:noWrap w:val="false"/>
          </w:tcPr>
          <w:p>
            <w:pPr>
              <w:pBdr/>
              <w:spacing w:line="260" w:lineRule="exact"/>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合计</w:t>
            </w:r>
            <w:r>
              <w:rPr>
                <w:rFonts w:hint="default" w:ascii="Times New Roman" w:hAnsi="Times New Roman" w:cs="Times New Roman" w:eastAsiaTheme="minorEastAsia"/>
                <w:sz w:val="20"/>
                <w:szCs w:val="20"/>
              </w:rPr>
            </w:r>
          </w:p>
        </w:tc>
        <w:tc>
          <w:tcPr>
            <w:tcBorders/>
            <w:tcW w:w="637" w:type="dxa"/>
            <w:vAlign w:val="center"/>
            <w:textDirection w:val="lrTb"/>
            <w:noWrap w:val="false"/>
          </w:tcPr>
          <w:p>
            <w:pPr>
              <w:pBdr/>
              <w:spacing w:line="260" w:lineRule="exact"/>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30</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30</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50" w:left="-50"/>
              <w:jc w:val="center"/>
              <w:rPr>
                <w:rFonts w:hint="default"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28</w:t>
            </w:r>
            <w:r>
              <w:rPr>
                <w:rFonts w:hint="default"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r>
    </w:tbl>
    <w:p>
      <w:pPr>
        <w:pBdr/>
        <w:spacing w:line="440" w:lineRule="exact"/>
        <w:ind/>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000000"/>
          <w:sz w:val="20"/>
          <w:szCs w:val="20"/>
        </w:rPr>
        <w:t xml:space="preserve">共性指标自评分：</w:t>
      </w:r>
      <w:r>
        <w:rPr>
          <w:rFonts w:hint="eastAsia" w:ascii="Times New Roman" w:hAnsi="Times New Roman" w:cs="Times New Roman" w:eastAsiaTheme="minorEastAsia"/>
          <w:b w:val="0"/>
          <w:bCs/>
          <w:color w:val="000000"/>
          <w:sz w:val="20"/>
          <w:szCs w:val="20"/>
          <w:lang w:val="en-US" w:eastAsia="zh-CN"/>
        </w:rPr>
        <w:t xml:space="preserve">28</w:t>
      </w:r>
      <w:r>
        <w:rPr>
          <w:rFonts w:hint="default" w:ascii="Times New Roman" w:hAnsi="Times New Roman" w:cs="Times New Roman" w:eastAsiaTheme="minorEastAsia"/>
          <w:b w:val="0"/>
          <w:bCs/>
          <w:color w:val="000000"/>
          <w:sz w:val="20"/>
          <w:szCs w:val="20"/>
        </w:rPr>
        <w:t xml:space="preserve">                 </w:t>
      </w:r>
      <w:r>
        <w:rPr>
          <w:rFonts w:hint="eastAsia" w:ascii="Times New Roman" w:hAnsi="Times New Roman" w:cs="Times New Roman" w:eastAsiaTheme="minorEastAsia"/>
          <w:b w:val="0"/>
          <w:bCs/>
          <w:color w:val="000000"/>
          <w:sz w:val="20"/>
          <w:szCs w:val="20"/>
          <w:lang w:val="en-US" w:eastAsia="zh-CN"/>
        </w:rPr>
        <w:t xml:space="preserve">       </w:t>
      </w:r>
      <w:r>
        <w:rPr>
          <w:rFonts w:hint="default" w:ascii="Times New Roman" w:hAnsi="Times New Roman" w:cs="Times New Roman" w:eastAsiaTheme="minorEastAsia"/>
          <w:b w:val="0"/>
          <w:bCs/>
          <w:color w:val="000000"/>
          <w:sz w:val="20"/>
          <w:szCs w:val="20"/>
        </w:rPr>
        <w:t xml:space="preserve"> 填报人：          </w:t>
      </w:r>
      <w:r>
        <w:rPr>
          <w:rFonts w:hint="eastAsia" w:ascii="Times New Roman" w:hAnsi="Times New Roman" w:cs="Times New Roman" w:eastAsiaTheme="minorEastAsia"/>
          <w:b w:val="0"/>
          <w:bCs/>
          <w:color w:val="000000"/>
          <w:sz w:val="20"/>
          <w:szCs w:val="20"/>
          <w:lang w:val="en-US" w:eastAsia="zh-CN"/>
        </w:rPr>
        <w:t xml:space="preserve">    </w:t>
      </w:r>
      <w:r>
        <w:rPr>
          <w:rFonts w:hint="default" w:ascii="Times New Roman" w:hAnsi="Times New Roman" w:cs="Times New Roman" w:eastAsiaTheme="minorEastAsia"/>
          <w:b w:val="0"/>
          <w:bCs/>
          <w:color w:val="000000"/>
          <w:sz w:val="20"/>
          <w:szCs w:val="20"/>
        </w:rPr>
        <w:t xml:space="preserve">   填报时间：</w:t>
      </w:r>
      <w:r>
        <w:rPr>
          <w:rFonts w:hint="default" w:ascii="Times New Roman" w:hAnsi="Times New Roman" w:cs="Times New Roman" w:eastAsiaTheme="minorEastAsia"/>
          <w:b w:val="0"/>
          <w:bCs/>
          <w:color w:val="000000"/>
          <w:sz w:val="20"/>
          <w:szCs w:val="20"/>
        </w:rPr>
      </w:r>
    </w:p>
    <w:p>
      <w:pPr>
        <w:pBdr/>
        <w:spacing w:line="560" w:lineRule="exact"/>
        <w:ind/>
        <w:jc w:val="center"/>
        <w:rPr>
          <w:rFonts w:hint="eastAsia" w:ascii="方正大标宋简体" w:hAnsi="方正大标宋简体" w:eastAsia="方正大标宋简体" w:cs="方正大标宋简体"/>
          <w:b w:val="0"/>
          <w:bCs w:val="0"/>
          <w:sz w:val="40"/>
          <w:szCs w:val="40"/>
        </w:rPr>
      </w:pPr>
      <w:r>
        <w:rPr>
          <w:rFonts w:hint="eastAsia" w:ascii="方正大标宋简体" w:hAnsi="方正大标宋简体" w:eastAsia="方正大标宋简体" w:cs="方正大标宋简体"/>
          <w:b w:val="0"/>
          <w:bCs w:val="0"/>
          <w:sz w:val="40"/>
          <w:szCs w:val="40"/>
        </w:rPr>
      </w:r>
      <w:r>
        <w:rPr>
          <w:rFonts w:hint="eastAsia" w:ascii="方正大标宋简体" w:hAnsi="方正大标宋简体" w:eastAsia="方正大标宋简体" w:cs="方正大标宋简体"/>
          <w:b w:val="0"/>
          <w:bCs w:val="0"/>
          <w:sz w:val="40"/>
          <w:szCs w:val="40"/>
        </w:rPr>
      </w:r>
    </w:p>
    <w:p>
      <w:pPr>
        <w:pBdr/>
        <w:spacing w:line="560" w:lineRule="exact"/>
        <w:ind/>
        <w:jc w:val="center"/>
        <w:rPr>
          <w:rFonts w:hint="eastAsia" w:ascii="方正大标宋简体" w:hAnsi="方正大标宋简体" w:eastAsia="方正大标宋简体" w:cs="方正大标宋简体"/>
          <w:b w:val="0"/>
          <w:bCs w:val="0"/>
          <w:sz w:val="40"/>
          <w:szCs w:val="40"/>
        </w:rPr>
      </w:pPr>
      <w:r>
        <w:rPr>
          <w:rFonts w:hint="eastAsia" w:ascii="方正大标宋简体" w:hAnsi="方正大标宋简体" w:eastAsia="方正大标宋简体" w:cs="方正大标宋简体"/>
          <w:b w:val="0"/>
          <w:bCs w:val="0"/>
          <w:sz w:val="40"/>
          <w:szCs w:val="40"/>
        </w:rPr>
      </w:r>
      <w:r>
        <w:rPr>
          <w:rFonts w:hint="eastAsia" w:ascii="方正大标宋简体" w:hAnsi="方正大标宋简体" w:eastAsia="方正大标宋简体" w:cs="方正大标宋简体"/>
          <w:b w:val="0"/>
          <w:bCs w:val="0"/>
          <w:sz w:val="40"/>
          <w:szCs w:val="40"/>
        </w:rPr>
      </w:r>
    </w:p>
    <w:p>
      <w:pPr>
        <w:pBdr/>
        <w:spacing w:line="560" w:lineRule="exact"/>
        <w:ind/>
        <w:jc w:val="center"/>
        <w:rPr>
          <w:rFonts w:hint="eastAsia" w:ascii="方正大标宋简体" w:hAnsi="方正大标宋简体" w:eastAsia="方正大标宋简体" w:cs="方正大标宋简体"/>
          <w:b w:val="0"/>
          <w:bCs w:val="0"/>
          <w:sz w:val="40"/>
          <w:szCs w:val="40"/>
        </w:rPr>
      </w:pPr>
      <w:r>
        <w:rPr>
          <w:rFonts w:hint="eastAsia" w:ascii="方正大标宋简体" w:hAnsi="方正大标宋简体" w:eastAsia="方正大标宋简体" w:cs="方正大标宋简体"/>
          <w:b w:val="0"/>
          <w:bCs w:val="0"/>
          <w:sz w:val="40"/>
          <w:szCs w:val="40"/>
        </w:rPr>
        <w:t xml:space="preserve">随州市部门整体支出绩效目标自评表（表2）</w:t>
      </w:r>
      <w:r>
        <w:rPr>
          <w:rFonts w:hint="eastAsia" w:ascii="方正大标宋简体" w:hAnsi="方正大标宋简体" w:eastAsia="方正大标宋简体" w:cs="方正大标宋简体"/>
          <w:b w:val="0"/>
          <w:bCs w:val="0"/>
          <w:sz w:val="40"/>
          <w:szCs w:val="40"/>
        </w:rPr>
      </w:r>
    </w:p>
    <w:p>
      <w:pPr>
        <w:pBdr/>
        <w:spacing w:line="560" w:lineRule="exact"/>
        <w:ind/>
        <w:jc w:val="center"/>
        <w:rPr>
          <w:rFonts w:hint="eastAsia" w:ascii="方正大标宋简体" w:hAnsi="方正大标宋简体" w:eastAsia="方正大标宋简体" w:cs="方正大标宋简体"/>
          <w:b w:val="0"/>
          <w:bCs w:val="0"/>
          <w:sz w:val="40"/>
          <w:szCs w:val="40"/>
        </w:rPr>
      </w:pPr>
      <w:r>
        <w:rPr>
          <w:rFonts w:hint="eastAsia" w:ascii="方正大标宋简体" w:hAnsi="方正大标宋简体" w:eastAsia="方正大标宋简体" w:cs="方正大标宋简体"/>
          <w:b w:val="0"/>
          <w:bCs w:val="0"/>
          <w:sz w:val="40"/>
          <w:szCs w:val="40"/>
        </w:rPr>
      </w:r>
      <w:r>
        <w:rPr>
          <w:rFonts w:hint="eastAsia" w:ascii="方正大标宋简体" w:hAnsi="方正大标宋简体" w:eastAsia="方正大标宋简体" w:cs="方正大标宋简体"/>
          <w:b w:val="0"/>
          <w:bCs w:val="0"/>
          <w:sz w:val="40"/>
          <w:szCs w:val="40"/>
        </w:rPr>
      </w:r>
    </w:p>
    <w:tbl>
      <w:tblPr>
        <w:tblStyle w:val="657"/>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606"/>
        <w:gridCol w:w="721"/>
        <w:gridCol w:w="735"/>
        <w:gridCol w:w="1019"/>
        <w:gridCol w:w="950"/>
        <w:gridCol w:w="1025"/>
        <w:gridCol w:w="575"/>
        <w:gridCol w:w="475"/>
        <w:gridCol w:w="3367"/>
      </w:tblGrid>
      <w:tr>
        <w:trPr>
          <w:jc w:val="center"/>
          <w:trHeight w:val="420"/>
        </w:trPr>
        <w:tc>
          <w:tcPr>
            <w:gridSpan w:val="9"/>
            <w:tcBorders>
              <w:top w:val="single" w:color="auto" w:sz="4" w:space="0"/>
              <w:left w:val="single" w:color="auto" w:sz="4" w:space="0"/>
              <w:bottom w:val="single" w:color="auto" w:sz="4" w:space="0"/>
              <w:right w:val="single" w:color="auto" w:sz="4" w:space="0"/>
            </w:tcBorders>
            <w:tcW w:w="9473" w:type="dxa"/>
            <w:vAlign w:val="center"/>
            <w:textDirection w:val="lrTb"/>
            <w:noWrap w:val="false"/>
          </w:tcPr>
          <w:p>
            <w:pPr>
              <w:pBdr/>
              <w:spacing/>
              <w:ind w:left="108"/>
              <w:jc w:val="left"/>
              <w:rPr>
                <w:rFonts w:hint="eastAsia" w:ascii="Times New Roman" w:hAnsi="Times New Roman" w:eastAsia="宋体" w:cs="Times New Roman"/>
                <w:sz w:val="20"/>
                <w:szCs w:val="20"/>
                <w:lang w:eastAsia="zh-CN"/>
              </w:rPr>
            </w:pPr>
            <w:r>
              <w:rPr>
                <w:rFonts w:hint="default" w:ascii="Times New Roman" w:hAnsi="Times New Roman" w:eastAsia="宋体" w:cs="Times New Roman"/>
                <w:sz w:val="20"/>
                <w:szCs w:val="20"/>
              </w:rPr>
              <w:t xml:space="preserve">年度目标1：建成独立的指挥调度型急救中心</w:t>
            </w:r>
            <w:r>
              <w:rPr>
                <w:rFonts w:hint="eastAsia" w:ascii="Times New Roman" w:hAnsi="Times New Roman" w:cs="Times New Roman"/>
                <w:sz w:val="20"/>
                <w:szCs w:val="20"/>
                <w:lang w:eastAsia="zh-CN"/>
              </w:rPr>
              <w:t xml:space="preserve">，并正式运行。</w:t>
            </w:r>
            <w:r>
              <w:rPr>
                <w:rFonts w:hint="eastAsia" w:ascii="Times New Roman" w:hAnsi="Times New Roman" w:eastAsia="宋体" w:cs="Times New Roman"/>
                <w:sz w:val="20"/>
                <w:szCs w:val="20"/>
                <w:lang w:eastAsia="zh-CN"/>
              </w:rPr>
            </w:r>
          </w:p>
        </w:tc>
      </w:tr>
      <w:tr>
        <w:trPr>
          <w:jc w:val="center"/>
        </w:trPr>
        <w:tc>
          <w:tcPr>
            <w:tcBorders>
              <w:top w:val="none" w:color="000000" w:sz="4" w:space="0"/>
              <w:left w:val="single" w:color="auto" w:sz="4" w:space="0"/>
              <w:bottom w:val="single" w:color="auto" w:sz="4" w:space="0"/>
              <w:right w:val="single" w:color="auto" w:sz="4" w:space="0"/>
            </w:tcBorders>
            <w:tcW w:w="606" w:type="dxa"/>
            <w:vAlign w:val="center"/>
            <w:vMerge w:val="restart"/>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项目</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绩效</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70分</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21"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一级</w:t>
            </w:r>
            <w:r>
              <w:rPr>
                <w:rFonts w:hint="default" w:ascii="Times New Roman" w:hAnsi="Times New Roman" w:eastAsia="宋体" w:cs="Times New Roman"/>
                <w:sz w:val="20"/>
                <w:szCs w:val="20"/>
              </w:rPr>
            </w:r>
          </w:p>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35"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二级</w:t>
            </w:r>
            <w:r>
              <w:rPr>
                <w:rFonts w:hint="default" w:ascii="Times New Roman" w:hAnsi="Times New Roman" w:eastAsia="宋体" w:cs="Times New Roman"/>
                <w:sz w:val="20"/>
                <w:szCs w:val="20"/>
              </w:rPr>
            </w:r>
          </w:p>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指标名称</w:t>
            </w:r>
            <w:r>
              <w:rPr>
                <w:rFonts w:hint="default" w:ascii="Times New Roman" w:hAnsi="Times New Roman" w:eastAsia="宋体" w:cs="Times New Roman"/>
                <w:sz w:val="20"/>
                <w:szCs w:val="20"/>
              </w:rPr>
            </w:r>
          </w:p>
          <w:p>
            <w:pPr>
              <w:keepNext w:val="false"/>
              <w:keepLines w:val="false"/>
              <w:pageBreakBefore w:val="false"/>
              <w:widowControl w:val="false"/>
              <w:pBdr/>
              <w:spacing w:line="22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w:t>
            </w:r>
            <w:r>
              <w:rPr>
                <w:rFonts w:hint="default" w:ascii="Times New Roman" w:hAnsi="Times New Roman" w:eastAsia="宋体" w:cs="Times New Roman"/>
                <w:sz w:val="20"/>
                <w:szCs w:val="20"/>
              </w:rPr>
              <w:t xml:space="preserve">三级指标</w:t>
            </w:r>
            <w:r>
              <w:rPr>
                <w:rFonts w:hint="eastAsia" w:ascii="Times New Roman" w:hAnsi="Times New Roman" w:cs="Times New Roman"/>
                <w:sz w:val="20"/>
                <w:szCs w:val="20"/>
                <w:lang w:eastAsia="zh-CN"/>
              </w:rPr>
              <w:t xml:space="preserve">）</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年初指标值</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年终完成值</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自评分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复核分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3367"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评价标准</w:t>
            </w:r>
            <w:r>
              <w:rPr>
                <w:rFonts w:hint="default" w:ascii="Times New Roman" w:hAnsi="Times New Roman" w:eastAsia="宋体" w:cs="Times New Roman"/>
                <w:sz w:val="20"/>
                <w:szCs w:val="20"/>
              </w:rPr>
            </w:r>
          </w:p>
        </w:tc>
      </w:tr>
      <w:tr>
        <w:trPr>
          <w:jc w:val="center"/>
          <w:trHeight w:val="625"/>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721" w:type="dxa"/>
            <w:vAlign w:val="center"/>
            <w:vMerge w:val="restart"/>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产出</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指标30分</w:t>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735" w:type="dxa"/>
            <w:vAlign w:val="center"/>
            <w:vMerge w:val="restart"/>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数量</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 xml:space="preserve">30</w:t>
            </w:r>
            <w:r>
              <w:rPr>
                <w:rFonts w:hint="default" w:ascii="Times New Roman" w:hAnsi="Times New Roman" w:eastAsia="宋体" w:cs="Times New Roman"/>
                <w:sz w:val="20"/>
                <w:szCs w:val="20"/>
              </w:rPr>
              <w:t xml:space="preserve">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处置突发事件</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2312次</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17000次</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10</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3367" w:type="dxa"/>
            <w:vAlign w:val="center"/>
            <w:vMerge w:val="restart"/>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1、提供三级指标完成程度的佐证资料；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2、三级指标分值按三级指标个数平均确定（10分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650"/>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35" w:type="dxa"/>
            <w:vAlign w:val="center"/>
            <w:vMerge w:val="continue"/>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处置伤员</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1362次</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17421次</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10</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3367" w:type="dxa"/>
            <w:vAlign w:val="center"/>
            <w:vMerge w:val="continue"/>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r>
      <w:tr>
        <w:trPr>
          <w:jc w:val="center"/>
          <w:trHeight w:val="737"/>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bottom w:val="single" w:color="auto" w:sz="4" w:space="0"/>
              <w:right w:val="single" w:color="auto" w:sz="4" w:space="0"/>
            </w:tcBorders>
            <w:tcW w:w="735" w:type="dxa"/>
            <w:vAlign w:val="center"/>
            <w:vMerge w:val="continue"/>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执行随州市医疗保障任务</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28次</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223次</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10</w:t>
            </w:r>
            <w:r>
              <w:rPr>
                <w:rFonts w:hint="default" w:ascii="Times New Roman" w:hAnsi="Times New Roman" w:eastAsia="宋体" w:cs="Times New Roman"/>
                <w:sz w:val="18"/>
                <w:szCs w:val="18"/>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bottom w:val="single" w:color="auto" w:sz="4" w:space="0"/>
              <w:right w:val="single" w:color="auto" w:sz="4" w:space="0"/>
            </w:tcBorders>
            <w:tcW w:w="3367" w:type="dxa"/>
            <w:vAlign w:val="center"/>
            <w:vMerge w:val="continue"/>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r>
      <w:tr>
        <w:trPr>
          <w:jc w:val="center"/>
          <w:trHeight w:val="1137" w:hRule="exact"/>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21" w:type="dxa"/>
            <w:vAlign w:val="center"/>
            <w:vMerge w:val="restart"/>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效益</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指标30分</w:t>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735" w:type="dxa"/>
            <w:vAlign w:val="center"/>
            <w:vMerge w:val="restart"/>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社会</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效益</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 xml:space="preserve">16</w:t>
            </w:r>
            <w:r>
              <w:rPr>
                <w:rFonts w:hint="default" w:ascii="Times New Roman" w:hAnsi="Times New Roman" w:eastAsia="宋体" w:cs="Times New Roman"/>
                <w:sz w:val="20"/>
                <w:szCs w:val="20"/>
              </w:rPr>
              <w:t xml:space="preserve">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年救治人数</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15000人</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17421人</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8</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367"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1、提供三级指标实现经济效益的佐证资料；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2、三级指标分值按三级指标个数平均确定（8分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1164" w:hRule="exact"/>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bottom w:val="single" w:color="auto" w:sz="4" w:space="0"/>
              <w:right w:val="single" w:color="auto" w:sz="4" w:space="0"/>
            </w:tcBorders>
            <w:tcW w:w="735" w:type="dxa"/>
            <w:vAlign w:val="center"/>
            <w:vMerge w:val="continue"/>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加大对急救知识的宣传力度</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15次/年</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eastAsia="zh-CN"/>
              </w:rPr>
              <w:t xml:space="preserve">＞</w:t>
            </w:r>
            <w:r>
              <w:rPr>
                <w:rFonts w:hint="eastAsia" w:ascii="Times New Roman" w:hAnsi="Times New Roman" w:cs="Times New Roman"/>
                <w:sz w:val="20"/>
                <w:szCs w:val="20"/>
                <w:lang w:val="en-US" w:eastAsia="zh-CN"/>
              </w:rPr>
              <w:t xml:space="preserve">15次/年</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8</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367"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1、提供三级指标实现社会效益的佐证资料；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2、三级指标分值按三级指标个数平均确定（8分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1064" w:hRule="exact"/>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生态</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效益</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8分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环境危害影响</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无</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无</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8</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367"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1、提供三级指标实现生态效益的佐证资料；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2、三级指标分值按三级指标个数平均确定（8分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1037" w:hRule="exact"/>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可持续</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影响6分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急救站点建设</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6个</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6个</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6</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367"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1、提供三级指标可持续影响的佐证资料；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2、三级指标分值按三级指标个数平均确定（6分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986" w:hRule="exact"/>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21" w:type="dxa"/>
            <w:vAlign w:val="center"/>
            <w:textDirection w:val="lrTb"/>
            <w:noWrap w:val="false"/>
          </w:tcPr>
          <w:p>
            <w:pPr>
              <w:keepNext w:val="false"/>
              <w:keepLines w:val="false"/>
              <w:pageBreakBefore w:val="false"/>
              <w:widowControl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服务</w:t>
            </w:r>
            <w:r>
              <w:rPr>
                <w:rFonts w:hint="default" w:ascii="Times New Roman" w:hAnsi="Times New Roman" w:eastAsia="宋体" w:cs="Times New Roman"/>
                <w:sz w:val="20"/>
                <w:szCs w:val="20"/>
              </w:rPr>
            </w:r>
          </w:p>
          <w:p>
            <w:pPr>
              <w:keepNext w:val="false"/>
              <w:keepLines w:val="false"/>
              <w:pageBreakBefore w:val="false"/>
              <w:widowControl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满意</w:t>
            </w:r>
            <w:r>
              <w:rPr>
                <w:rFonts w:hint="default" w:ascii="Times New Roman" w:hAnsi="Times New Roman" w:eastAsia="宋体" w:cs="Times New Roman"/>
                <w:sz w:val="20"/>
                <w:szCs w:val="20"/>
              </w:rPr>
            </w:r>
          </w:p>
          <w:p>
            <w:pPr>
              <w:keepNext w:val="false"/>
              <w:keepLines w:val="false"/>
              <w:pageBreakBefore w:val="false"/>
              <w:widowControl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val="en-US" w:eastAsia="zh-CN"/>
              </w:rPr>
              <w:t xml:space="preserve">度1</w:t>
            </w:r>
            <w:r>
              <w:rPr>
                <w:rFonts w:hint="default" w:ascii="Times New Roman" w:hAnsi="Times New Roman" w:eastAsia="宋体" w:cs="Times New Roman"/>
                <w:sz w:val="20"/>
                <w:szCs w:val="20"/>
              </w:rPr>
              <w:t xml:space="preserve">0</w:t>
            </w:r>
            <w:r>
              <w:rPr>
                <w:rFonts w:hint="eastAsia" w:ascii="Times New Roman" w:hAnsi="Times New Roman" w:cs="Times New Roman"/>
                <w:sz w:val="20"/>
                <w:szCs w:val="20"/>
                <w:lang w:eastAsia="zh-CN"/>
              </w:rPr>
              <w:t xml:space="preserve">分</w:t>
            </w:r>
            <w:r>
              <w:rPr>
                <w:rFonts w:hint="eastAsia" w:ascii="Times New Roman" w:hAnsi="Times New Roman" w:eastAsia="宋体" w:cs="Times New Roman"/>
                <w:sz w:val="20"/>
                <w:szCs w:val="20"/>
                <w:lang w:eastAsia="zh-CN"/>
              </w:rPr>
            </w:r>
          </w:p>
        </w:tc>
        <w:tc>
          <w:tcPr>
            <w:tcBorders>
              <w:top w:val="none" w:color="000000" w:sz="4" w:space="0"/>
              <w:left w:val="single" w:color="auto" w:sz="4" w:space="0"/>
              <w:bottom w:val="single" w:color="auto" w:sz="4" w:space="0"/>
              <w:right w:val="single" w:color="auto" w:sz="4" w:space="0"/>
            </w:tcBorders>
            <w:tcW w:w="735" w:type="dxa"/>
            <w:vAlign w:val="center"/>
            <w:textDirection w:val="lrTb"/>
            <w:noWrap w:val="false"/>
          </w:tcPr>
          <w:p>
            <w:pPr>
              <w:keepNext w:val="false"/>
              <w:keepLines w:val="false"/>
              <w:pageBreakBefore w:val="false"/>
              <w:widowControl w:val="false"/>
              <w:pBdr/>
              <w:spacing w:line="18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服务对象满意度</w:t>
            </w:r>
            <w:r>
              <w:rPr>
                <w:rFonts w:hint="default" w:ascii="Times New Roman" w:hAnsi="Times New Roman" w:eastAsia="宋体" w:cs="Times New Roman"/>
                <w:sz w:val="20"/>
                <w:szCs w:val="20"/>
              </w:rPr>
            </w:r>
          </w:p>
          <w:p>
            <w:pPr>
              <w:keepNext w:val="false"/>
              <w:keepLines w:val="false"/>
              <w:pageBreakBefore w:val="false"/>
              <w:widowControl w:val="false"/>
              <w:pBdr/>
              <w:spacing w:line="18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10分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vAlign w:val="center"/>
            <w:textDirection w:val="lrTb"/>
            <w:noWrap w:val="false"/>
          </w:tcPr>
          <w:p>
            <w:pPr>
              <w:keepNext w:val="false"/>
              <w:keepLines w:val="false"/>
              <w:pageBreakBefore w:val="false"/>
              <w:pBdr/>
              <w:spacing w:line="200" w:lineRule="exact"/>
              <w:ind w:right="0" w:left="0"/>
              <w:jc w:val="center"/>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 xml:space="preserve">回访满</w:t>
            </w:r>
            <w:r>
              <w:rPr>
                <w:rFonts w:hint="eastAsia" w:ascii="Times New Roman" w:hAnsi="Times New Roman" w:cs="Times New Roman"/>
                <w:sz w:val="20"/>
                <w:szCs w:val="20"/>
                <w:lang w:eastAsia="zh-CN"/>
              </w:rPr>
            </w:r>
          </w:p>
          <w:p>
            <w:pPr>
              <w:keepNext w:val="false"/>
              <w:keepLines w:val="false"/>
              <w:pageBreakBefore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意率</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eastAsia" w:ascii="Times New Roman" w:hAnsi="Times New Roman" w:cs="Times New Roman"/>
                <w:sz w:val="20"/>
                <w:szCs w:val="20"/>
                <w:lang w:eastAsia="zh-CN"/>
              </w:rPr>
              <w:t xml:space="preserve">≥</w:t>
            </w:r>
            <w:r>
              <w:rPr>
                <w:rFonts w:hint="eastAsia" w:ascii="Times New Roman" w:hAnsi="Times New Roman" w:cs="Times New Roman"/>
                <w:sz w:val="20"/>
                <w:szCs w:val="20"/>
                <w:lang w:val="en-US" w:eastAsia="zh-CN"/>
              </w:rPr>
              <w:t xml:space="preserve">95%</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99.85%</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10</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475" w:type="dxa"/>
            <w:vAlign w:val="center"/>
            <w:textDirection w:val="lrTb"/>
            <w:noWrap w:val="false"/>
          </w:tcPr>
          <w:p>
            <w:pPr>
              <w:keepNext w:val="false"/>
              <w:keepLines w:val="false"/>
              <w:pageBreakBefore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367"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1、提供三级指标满意度的佐证资料；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2、三级指标分值按三级指标个数平均确定（10分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493"/>
        </w:trPr>
        <w:tc>
          <w:tcPr>
            <w:tcBorders>
              <w:top w:val="single" w:color="auto" w:sz="4" w:space="0"/>
              <w:left w:val="single" w:color="auto" w:sz="4" w:space="0"/>
              <w:bottom w:val="single" w:color="auto" w:sz="4" w:space="0"/>
              <w:right w:val="single" w:color="auto" w:sz="4" w:space="0"/>
            </w:tcBorders>
            <w:tcW w:w="606" w:type="dxa"/>
            <w:vAlign w:val="center"/>
            <w:textDirection w:val="lrTb"/>
            <w:noWrap w:val="false"/>
          </w:tcPr>
          <w:p>
            <w:pPr>
              <w:keepNext w:val="false"/>
              <w:keepLines w:val="false"/>
              <w:pageBreakBefore w:val="false"/>
              <w:widowControl w:val="false"/>
              <w:pBdr/>
              <w:spacing w:line="200" w:lineRule="exact"/>
              <w:ind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合计</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21" w:type="dxa"/>
            <w:vAlign w:val="center"/>
            <w:textDirection w:val="lrTb"/>
            <w:noWrap w:val="false"/>
          </w:tcPr>
          <w:p>
            <w:pPr>
              <w:pBdr/>
              <w:spacing w:line="300" w:lineRule="exact"/>
              <w:ind w:left="108"/>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70</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35" w:type="dxa"/>
            <w:vAlign w:val="center"/>
            <w:textDirection w:val="lrTb"/>
            <w:noWrap w:val="false"/>
          </w:tcPr>
          <w:p>
            <w:pPr>
              <w:pBdr/>
              <w:spacing w:line="300" w:lineRule="exact"/>
              <w:ind w:left="108"/>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70</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19" w:type="dxa"/>
            <w:textDirection w:val="lrTb"/>
            <w:noWrap w:val="false"/>
          </w:tcPr>
          <w:p>
            <w:pPr>
              <w:pBdr/>
              <w:spacing w:line="300" w:lineRule="exact"/>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950" w:type="dxa"/>
            <w:textDirection w:val="lrTb"/>
            <w:noWrap w:val="false"/>
          </w:tcPr>
          <w:p>
            <w:pPr>
              <w:pBdr/>
              <w:spacing w:line="300" w:lineRule="exact"/>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025" w:type="dxa"/>
            <w:textDirection w:val="lrTb"/>
            <w:noWrap w:val="false"/>
          </w:tcPr>
          <w:p>
            <w:pPr>
              <w:pBdr/>
              <w:spacing w:line="300" w:lineRule="exact"/>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575" w:type="dxa"/>
            <w:textDirection w:val="lrTb"/>
            <w:noWrap w:val="false"/>
          </w:tcPr>
          <w:p>
            <w:pPr>
              <w:pBdr/>
              <w:spacing w:line="300" w:lineRule="exact"/>
              <w:ind/>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70</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475" w:type="dxa"/>
            <w:textDirection w:val="lrTb"/>
            <w:noWrap w:val="false"/>
          </w:tcPr>
          <w:p>
            <w:pPr>
              <w:pBdr/>
              <w:spacing w:line="300" w:lineRule="exact"/>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3367" w:type="dxa"/>
            <w:textDirection w:val="lrTb"/>
            <w:noWrap w:val="false"/>
          </w:tcPr>
          <w:p>
            <w:pPr>
              <w:pBdr/>
              <w:spacing w:line="300" w:lineRule="exact"/>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r>
    </w:tbl>
    <w:p>
      <w:pPr>
        <w:keepNext w:val="false"/>
        <w:keepLines w:val="false"/>
        <w:pageBreakBefore w:val="false"/>
        <w:widowControl w:val="false"/>
        <w:pBdr/>
        <w:spacing w:line="200" w:lineRule="exact"/>
        <w:ind/>
        <w:rPr>
          <w:rFonts w:hint="default" w:ascii="Times New Roman" w:hAnsi="Times New Roman" w:cs="Times New Roman"/>
          <w:sz w:val="18"/>
          <w:szCs w:val="18"/>
        </w:rPr>
      </w:pPr>
      <w:r>
        <w:rPr>
          <w:rFonts w:hint="default" w:ascii="Times New Roman" w:hAnsi="Times New Roman" w:cs="Times New Roman"/>
          <w:sz w:val="18"/>
          <w:szCs w:val="18"/>
        </w:rPr>
      </w:r>
      <w:r>
        <w:rPr>
          <w:rFonts w:hint="default" w:ascii="Times New Roman" w:hAnsi="Times New Roman" w:cs="Times New Roman"/>
          <w:sz w:val="18"/>
          <w:szCs w:val="18"/>
        </w:rPr>
      </w:r>
    </w:p>
    <w:p>
      <w:pPr>
        <w:keepNext w:val="false"/>
        <w:keepLines w:val="false"/>
        <w:pageBreakBefore w:val="false"/>
        <w:widowControl w:val="false"/>
        <w:pBdr/>
        <w:spacing w:line="200" w:lineRule="exact"/>
        <w:ind/>
        <w:rPr>
          <w:rFonts w:hint="default" w:ascii="Times New Roman" w:hAnsi="Times New Roman" w:cs="Times New Roman"/>
          <w:sz w:val="18"/>
          <w:szCs w:val="18"/>
        </w:rPr>
      </w:pPr>
      <w:r>
        <w:rPr>
          <w:rFonts w:hint="default" w:ascii="Times New Roman" w:hAnsi="Times New Roman" w:cs="Times New Roman"/>
          <w:sz w:val="18"/>
          <w:szCs w:val="18"/>
        </w:rPr>
      </w:r>
      <w:r>
        <w:rPr>
          <w:rFonts w:hint="default" w:ascii="Times New Roman" w:hAnsi="Times New Roman" w:cs="Times New Roman"/>
          <w:sz w:val="18"/>
          <w:szCs w:val="18"/>
        </w:rPr>
      </w:r>
    </w:p>
    <w:p>
      <w:pPr>
        <w:keepNext w:val="false"/>
        <w:keepLines w:val="false"/>
        <w:pageBreakBefore w:val="false"/>
        <w:widowControl w:val="false"/>
        <w:pBdr/>
        <w:spacing w:line="200" w:lineRule="exact"/>
        <w:ind/>
        <w:rPr>
          <w:rFonts w:hint="default" w:ascii="Times New Roman" w:hAnsi="Times New Roman" w:cs="Times New Roman"/>
          <w:sz w:val="18"/>
          <w:szCs w:val="18"/>
        </w:rPr>
      </w:pPr>
      <w:r>
        <w:rPr>
          <w:rFonts w:hint="default" w:ascii="Times New Roman" w:hAnsi="Times New Roman" w:cs="Times New Roman"/>
          <w:sz w:val="18"/>
          <w:szCs w:val="18"/>
        </w:rPr>
        <w:t xml:space="preserve">说明：1、指标名称、年初指标值按照绩效目标申报表填写，不得漏项；</w:t>
      </w:r>
      <w:r>
        <w:rPr>
          <w:rFonts w:hint="default" w:ascii="Times New Roman" w:hAnsi="Times New Roman" w:cs="Times New Roman"/>
          <w:sz w:val="18"/>
          <w:szCs w:val="18"/>
        </w:rPr>
      </w:r>
    </w:p>
    <w:p>
      <w:pPr>
        <w:keepNext w:val="false"/>
        <w:keepLines w:val="false"/>
        <w:pageBreakBefore w:val="false"/>
        <w:widowControl w:val="false"/>
        <w:pBdr/>
        <w:spacing w:line="200" w:lineRule="exact"/>
        <w:ind w:hanging="270" w:left="812"/>
        <w:rPr>
          <w:rFonts w:hint="default" w:ascii="Times New Roman" w:hAnsi="Times New Roman" w:cs="Times New Roman"/>
          <w:sz w:val="18"/>
          <w:szCs w:val="18"/>
        </w:rPr>
      </w:pPr>
      <w:r>
        <w:rPr>
          <w:rFonts w:hint="default" w:ascii="Times New Roman" w:hAnsi="Times New Roman" w:cs="Times New Roman"/>
          <w:sz w:val="18"/>
          <w:szCs w:val="18"/>
        </w:rPr>
        <w:t xml:space="preserve">2、指标名称分值确定，按指标名称个数平均保留整数，不能保留整数的可自行调整为整数，但各指标名称合计分值不得大于所属二级指标分；</w:t>
      </w:r>
      <w:r>
        <w:rPr>
          <w:rFonts w:hint="default" w:ascii="Times New Roman" w:hAnsi="Times New Roman" w:cs="Times New Roman"/>
          <w:sz w:val="18"/>
          <w:szCs w:val="18"/>
        </w:rPr>
      </w:r>
    </w:p>
    <w:p>
      <w:pPr>
        <w:keepNext w:val="false"/>
        <w:keepLines w:val="false"/>
        <w:pageBreakBefore w:val="false"/>
        <w:widowControl w:val="false"/>
        <w:pBdr/>
        <w:spacing w:line="200" w:lineRule="exact"/>
        <w:ind w:firstLine="540"/>
        <w:rPr>
          <w:rFonts w:hint="default" w:ascii="Times New Roman" w:hAnsi="Times New Roman" w:cs="Times New Roman"/>
          <w:sz w:val="18"/>
          <w:szCs w:val="18"/>
        </w:rPr>
      </w:pPr>
      <w:r>
        <w:rPr>
          <w:rFonts w:hint="default" w:ascii="Times New Roman" w:hAnsi="Times New Roman" w:cs="Times New Roman"/>
          <w:sz w:val="18"/>
          <w:szCs w:val="18"/>
        </w:rPr>
        <w:t xml:space="preserve">3、对定量指标值按实际完成的比例计分值（该项指标名称分值</w:t>
      </w:r>
      <w:r>
        <w:rPr>
          <w:rFonts w:hint="default" w:ascii="Times New Roman" w:hAnsi="Times New Roman" w:cs="Times New Roman"/>
          <w:color w:val="333333"/>
          <w:sz w:val="20"/>
          <w:szCs w:val="20"/>
          <w:shd w:val="clear" w:color="auto" w:fill="ffffff"/>
        </w:rPr>
        <w:t xml:space="preserve">×</w:t>
      </w:r>
      <w:r>
        <w:rPr>
          <w:rFonts w:hint="default" w:ascii="Times New Roman" w:hAnsi="Times New Roman" w:cs="Times New Roman"/>
          <w:sz w:val="18"/>
          <w:szCs w:val="18"/>
        </w:rPr>
        <w:t xml:space="preserve">实际完成的百分比）；</w:t>
      </w:r>
      <w:r>
        <w:rPr>
          <w:rFonts w:hint="default" w:ascii="Times New Roman" w:hAnsi="Times New Roman" w:cs="Times New Roman"/>
          <w:sz w:val="18"/>
          <w:szCs w:val="18"/>
        </w:rPr>
      </w:r>
    </w:p>
    <w:p>
      <w:pPr>
        <w:keepNext w:val="false"/>
        <w:keepLines w:val="false"/>
        <w:pageBreakBefore w:val="false"/>
        <w:widowControl w:val="false"/>
        <w:pBdr/>
        <w:spacing w:line="200" w:lineRule="exact"/>
        <w:ind w:hanging="270" w:left="808"/>
        <w:rPr>
          <w:rFonts w:hint="default" w:ascii="Times New Roman" w:hAnsi="Times New Roman" w:cs="Times New Roman"/>
          <w:sz w:val="18"/>
          <w:szCs w:val="18"/>
        </w:rPr>
      </w:pPr>
      <w:r>
        <w:rPr>
          <w:rFonts w:hint="default" w:ascii="Times New Roman" w:hAnsi="Times New Roman" w:cs="Times New Roman"/>
          <w:sz w:val="18"/>
          <w:szCs w:val="18"/>
        </w:rPr>
        <w:t xml:space="preserve">4、对定性指标值计分原则，分为三档：达到预期，部分达到预期有一定效果，未达预期效益差；对应分值区间：100%—81%、80%—51%、50%—0%。</w:t>
      </w:r>
      <w:r>
        <w:rPr>
          <w:rFonts w:hint="default" w:ascii="Times New Roman" w:hAnsi="Times New Roman" w:cs="Times New Roman"/>
          <w:sz w:val="18"/>
          <w:szCs w:val="18"/>
        </w:rPr>
      </w:r>
    </w:p>
    <w:p>
      <w:pPr>
        <w:keepNext w:val="false"/>
        <w:keepLines w:val="false"/>
        <w:pageBreakBefore w:val="false"/>
        <w:widowControl w:val="false"/>
        <w:pBdr/>
        <w:spacing w:line="200" w:lineRule="exact"/>
        <w:ind w:hanging="270" w:left="808"/>
        <w:rPr>
          <w:rFonts w:hint="default" w:ascii="Times New Roman" w:hAnsi="Times New Roman" w:cs="Times New Roman"/>
          <w:sz w:val="32"/>
          <w:szCs w:val="32"/>
        </w:rPr>
      </w:pPr>
      <w:r>
        <w:rPr>
          <w:rFonts w:hint="default" w:ascii="Times New Roman" w:hAnsi="Times New Roman" w:cs="Times New Roman"/>
          <w:sz w:val="18"/>
          <w:szCs w:val="18"/>
        </w:rPr>
        <w:t xml:space="preserve">5、年度目标取值：分别对每个“年度目标”进行评价计分，然后再平均计算。例：某部门有三个“年度目标”，目标1自评68分，目标2自评63分，目标3自评59分，该部门年度目标得分为：（68+63+59）</w:t>
      </w:r>
      <w:r>
        <w:rPr>
          <w:rFonts w:hint="default" w:ascii="Times New Roman" w:hAnsi="Times New Roman" w:cs="Times New Roman"/>
          <w:color w:val="000000"/>
          <w:sz w:val="18"/>
          <w:szCs w:val="18"/>
        </w:rPr>
        <w:t xml:space="preserve">÷3＝63.3分，四舍五入计63分。</w:t>
      </w:r>
      <w:r>
        <w:rPr>
          <w:rFonts w:hint="default" w:ascii="Times New Roman" w:hAnsi="Times New Roman" w:cs="Times New Roman"/>
          <w:sz w:val="32"/>
          <w:szCs w:val="32"/>
        </w:rPr>
      </w:r>
    </w:p>
    <w:p>
      <w:pPr>
        <w:keepNext w:val="false"/>
        <w:keepLines w:val="false"/>
        <w:pageBreakBefore w:val="false"/>
        <w:widowControl w:val="false"/>
        <w:pBdr/>
        <w:spacing w:line="620" w:lineRule="exact"/>
        <w:ind/>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r>
      <w:r>
        <w:rPr>
          <w:rFonts w:hint="default" w:ascii="Times New Roman" w:hAnsi="Times New Roman" w:eastAsia="黑体" w:cs="Times New Roman"/>
          <w:color w:val="000000"/>
          <w:sz w:val="32"/>
          <w:szCs w:val="32"/>
        </w:rP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bookmarkStart w:id="0" w:name="_GoBack"/>
      <w:r/>
      <w:bookmarkEnd w:id="0"/>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top w:val="single" w:color="000000" w:sz="6" w:space="1"/>
          <w:bottom w:val="single" w:color="000000" w:sz="6" w:space="1"/>
        </w:pBdr>
        <w:spacing/>
        <w:ind w:firstLine="210"/>
        <w:rPr/>
      </w:pPr>
      <w:r/>
      <w:r/>
    </w:p>
    <w:sectPr>
      <w:footerReference w:type="default" r:id="rId8"/>
      <w:footnotePr/>
      <w:endnotePr/>
      <w:type w:val="nextPage"/>
      <w:pgSz w:h="16838" w:orient="landscape" w:w="11906"/>
      <w:pgMar w:top="1984" w:right="1587" w:bottom="1814" w:left="1587" w:header="851" w:footer="1417"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方正大标宋简体">
    <w:panose1 w:val="020B0604020202020204"/>
  </w:font>
  <w:font w:name="Times New Roman">
    <w:panose1 w:val="02020603050405020304"/>
  </w:font>
  <w:font w:name="宋体">
    <w:panose1 w:val="02010600030101010101"/>
  </w:font>
  <w:font w:name="Arial">
    <w:panose1 w:val="020B0604020202020204"/>
  </w:font>
  <w:font w:name="Calibri">
    <w:panose1 w:val="020F0502020204030204"/>
  </w:font>
  <w:font w:name="等线">
    <w:panose1 w:val="02010600030101010101"/>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9"/>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-119379</wp:posOffset>
              </wp:positionV>
              <wp:extent cx="626745" cy="259080"/>
              <wp:effectExtent l="0" t="0" r="0" b="0"/>
              <wp:wrapNone/>
              <wp:docPr id="1" name="_x0000_s4097"/>
              <wp:cNvGraphicFramePr/>
              <a:graphic xmlns:a="http://schemas.openxmlformats.org/drawingml/2006/main">
                <a:graphicData uri="http://schemas.microsoft.com/office/word/2010/wordprocessingShape">
                  <wps:wsp>
                    <wps:cNvPr id="0" name=""/>
                    <wps:cNvSpPr txBox="1"/>
                    <wps:spPr bwMode="auto">
                      <a:xfrm>
                        <a:off x="0" y="0"/>
                        <a:ext cx="626745" cy="259080"/>
                      </a:xfrm>
                      <a:prstGeom prst="rect">
                        <a:avLst/>
                      </a:prstGeom>
                      <a:noFill/>
                      <a:ln>
                        <a:noFill/>
                      </a:ln>
                    </wps:spPr>
                    <wps:txbx>
                      <w:txbxContent>
                        <w:p>
                          <w:pPr>
                            <w:pStyle w:val="659"/>
                            <w:pBdr/>
                            <w:spacing/>
                            <w:ind/>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 xml:space="preserv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r>
                        </w:p>
                      </w:txbxContent>
                    </wps:txbx>
                    <wps:bodyPr wrap="square" lIns="0" tIns="0" rIns="0" bIns="0" upright="1"/>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9.40pt;mso-position-vertical:absolute;width:49.35pt;height:20.40pt;mso-wrap-distance-left:9.00pt;mso-wrap-distance-top:0.00pt;mso-wrap-distance-right:9.00pt;mso-wrap-distance-bottom:0.00pt;visibility:visible;" filled="f" stroked="f">
              <v:textbox inset="0,0,0,0">
                <w:txbxContent>
                  <w:p>
                    <w:pPr>
                      <w:pStyle w:val="659"/>
                      <w:pBdr/>
                      <w:spacing/>
                      <w:ind/>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 xml:space="preserv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5"/>
    <w:next w:val="65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6"/>
    <w:link w:val="13"/>
    <w:uiPriority w:val="9"/>
    <w:pPr>
      <w:pBdr/>
      <w:spacing/>
      <w:ind/>
    </w:pPr>
    <w:rPr>
      <w:rFonts w:ascii="等线" w:hAnsi="等线" w:eastAsia="等线" w:cs="等线"/>
      <w:sz w:val="40"/>
      <w:szCs w:val="40"/>
    </w:rPr>
  </w:style>
  <w:style w:type="paragraph" w:styleId="15">
    <w:name w:val="Heading 2"/>
    <w:basedOn w:val="655"/>
    <w:next w:val="65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6"/>
    <w:link w:val="15"/>
    <w:uiPriority w:val="9"/>
    <w:pPr>
      <w:pBdr/>
      <w:spacing/>
      <w:ind/>
    </w:pPr>
    <w:rPr>
      <w:rFonts w:ascii="等线" w:hAnsi="等线" w:eastAsia="等线" w:cs="等线"/>
      <w:sz w:val="34"/>
    </w:rPr>
  </w:style>
  <w:style w:type="paragraph" w:styleId="17">
    <w:name w:val="Heading 3"/>
    <w:basedOn w:val="655"/>
    <w:next w:val="65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6"/>
    <w:link w:val="17"/>
    <w:uiPriority w:val="9"/>
    <w:pPr>
      <w:pBdr/>
      <w:spacing/>
      <w:ind/>
    </w:pPr>
    <w:rPr>
      <w:rFonts w:ascii="等线" w:hAnsi="等线" w:eastAsia="等线" w:cs="等线"/>
      <w:sz w:val="30"/>
      <w:szCs w:val="30"/>
    </w:rPr>
  </w:style>
  <w:style w:type="paragraph" w:styleId="19">
    <w:name w:val="Heading 4"/>
    <w:basedOn w:val="655"/>
    <w:next w:val="65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6"/>
    <w:link w:val="19"/>
    <w:uiPriority w:val="9"/>
    <w:pPr>
      <w:pBdr/>
      <w:spacing/>
      <w:ind/>
    </w:pPr>
    <w:rPr>
      <w:rFonts w:ascii="等线" w:hAnsi="等线" w:eastAsia="等线" w:cs="等线"/>
      <w:b/>
      <w:bCs/>
      <w:sz w:val="26"/>
      <w:szCs w:val="26"/>
    </w:rPr>
  </w:style>
  <w:style w:type="paragraph" w:styleId="21">
    <w:name w:val="Heading 5"/>
    <w:basedOn w:val="655"/>
    <w:next w:val="65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6"/>
    <w:link w:val="21"/>
    <w:uiPriority w:val="9"/>
    <w:pPr>
      <w:pBdr/>
      <w:spacing/>
      <w:ind/>
    </w:pPr>
    <w:rPr>
      <w:rFonts w:ascii="等线" w:hAnsi="等线" w:eastAsia="等线" w:cs="等线"/>
      <w:b/>
      <w:bCs/>
      <w:sz w:val="24"/>
      <w:szCs w:val="24"/>
    </w:rPr>
  </w:style>
  <w:style w:type="paragraph" w:styleId="23">
    <w:name w:val="Heading 6"/>
    <w:basedOn w:val="655"/>
    <w:next w:val="65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6"/>
    <w:link w:val="23"/>
    <w:uiPriority w:val="9"/>
    <w:pPr>
      <w:pBdr/>
      <w:spacing/>
      <w:ind/>
    </w:pPr>
    <w:rPr>
      <w:rFonts w:ascii="等线" w:hAnsi="等线" w:eastAsia="等线" w:cs="等线"/>
      <w:b/>
      <w:bCs/>
      <w:sz w:val="22"/>
      <w:szCs w:val="22"/>
    </w:rPr>
  </w:style>
  <w:style w:type="paragraph" w:styleId="25">
    <w:name w:val="Heading 7"/>
    <w:basedOn w:val="655"/>
    <w:next w:val="65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6"/>
    <w:link w:val="25"/>
    <w:uiPriority w:val="9"/>
    <w:pPr>
      <w:pBdr/>
      <w:spacing/>
      <w:ind/>
    </w:pPr>
    <w:rPr>
      <w:rFonts w:ascii="等线" w:hAnsi="等线" w:eastAsia="等线" w:cs="等线"/>
      <w:b/>
      <w:bCs/>
      <w:i/>
      <w:iCs/>
      <w:sz w:val="22"/>
      <w:szCs w:val="22"/>
    </w:rPr>
  </w:style>
  <w:style w:type="paragraph" w:styleId="27">
    <w:name w:val="Heading 8"/>
    <w:basedOn w:val="655"/>
    <w:next w:val="65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6"/>
    <w:link w:val="27"/>
    <w:uiPriority w:val="9"/>
    <w:pPr>
      <w:pBdr/>
      <w:spacing/>
      <w:ind/>
    </w:pPr>
    <w:rPr>
      <w:rFonts w:ascii="等线" w:hAnsi="等线" w:eastAsia="等线" w:cs="等线"/>
      <w:i/>
      <w:iCs/>
      <w:sz w:val="22"/>
      <w:szCs w:val="22"/>
    </w:rPr>
  </w:style>
  <w:style w:type="paragraph" w:styleId="29">
    <w:name w:val="Heading 9"/>
    <w:basedOn w:val="655"/>
    <w:next w:val="65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6"/>
    <w:link w:val="29"/>
    <w:uiPriority w:val="9"/>
    <w:pPr>
      <w:pBdr/>
      <w:spacing/>
      <w:ind/>
    </w:pPr>
    <w:rPr>
      <w:rFonts w:ascii="等线" w:hAnsi="等线" w:eastAsia="等线" w:cs="等线"/>
      <w:i/>
      <w:iCs/>
      <w:sz w:val="21"/>
      <w:szCs w:val="21"/>
    </w:rPr>
  </w:style>
  <w:style w:type="paragraph" w:styleId="31">
    <w:name w:val="List Paragraph"/>
    <w:basedOn w:val="65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656"/>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656"/>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6"/>
    <w:link w:val="660"/>
    <w:uiPriority w:val="99"/>
    <w:pPr>
      <w:pBdr/>
      <w:spacing/>
      <w:ind/>
    </w:pPr>
  </w:style>
  <w:style w:type="character" w:styleId="45">
    <w:name w:val="Footer Char"/>
    <w:basedOn w:val="656"/>
    <w:link w:val="659"/>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9"/>
    <w:uiPriority w:val="99"/>
    <w:pPr>
      <w:pBdr/>
      <w:spacing/>
      <w:ind/>
    </w:pPr>
  </w:style>
  <w:style w:type="table" w:styleId="48">
    <w:name w:val="Table Grid"/>
    <w:basedOn w:val="65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6"/>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6"/>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uiPriority w:val="0"/>
    <w:qFormat/>
    <w:pPr>
      <w:widowControl w:val="false"/>
      <w:pBdr/>
      <w:spacing/>
      <w:ind/>
      <w:jc w:val="both"/>
    </w:pPr>
    <w:rPr>
      <w:rFonts w:ascii="Calibri" w:hAnsi="Calibri" w:eastAsia="宋体" w:cs="Calibri"/>
      <w:sz w:val="21"/>
      <w:szCs w:val="21"/>
      <w:lang w:val="en-US" w:eastAsia="zh-CN" w:bidi="ar-SA"/>
    </w:rPr>
  </w:style>
  <w:style w:type="character" w:styleId="656" w:default="1">
    <w:name w:val="Default Paragraph Font"/>
    <w:uiPriority w:val="1"/>
    <w:semiHidden/>
    <w:unhideWhenUsed/>
    <w:qFormat/>
    <w:pPr>
      <w:pBdr/>
      <w:spacing/>
      <w:ind/>
    </w:pPr>
  </w:style>
  <w:style w:type="table" w:styleId="657"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8">
    <w:name w:val="Balloon Text"/>
    <w:basedOn w:val="655"/>
    <w:link w:val="663"/>
    <w:uiPriority w:val="99"/>
    <w:semiHidden/>
    <w:unhideWhenUsed/>
    <w:qFormat/>
    <w:pPr>
      <w:pBdr/>
      <w:spacing/>
      <w:ind/>
    </w:pPr>
    <w:rPr>
      <w:sz w:val="18"/>
      <w:szCs w:val="18"/>
    </w:rPr>
  </w:style>
  <w:style w:type="paragraph" w:styleId="659">
    <w:name w:val="Footer"/>
    <w:basedOn w:val="655"/>
    <w:link w:val="662"/>
    <w:uiPriority w:val="99"/>
    <w:unhideWhenUsed/>
    <w:qFormat/>
    <w:pPr>
      <w:pBdr/>
      <w:spacing/>
      <w:ind/>
      <w:jc w:val="left"/>
    </w:pPr>
    <w:rPr>
      <w:sz w:val="18"/>
      <w:szCs w:val="18"/>
    </w:rPr>
  </w:style>
  <w:style w:type="paragraph" w:styleId="660">
    <w:name w:val="Header"/>
    <w:basedOn w:val="655"/>
    <w:uiPriority w:val="0"/>
    <w:unhideWhenUsed/>
    <w:qFormat/>
    <w:pPr>
      <w:pBdr>
        <w:bottom w:val="single" w:color="000000" w:sz="6" w:space="1"/>
      </w:pBdr>
      <w:tabs>
        <w:tab w:val="center" w:leader="none" w:pos="4153"/>
        <w:tab w:val="right" w:leader="none" w:pos="8306"/>
      </w:tabs>
      <w:spacing/>
      <w:ind/>
      <w:jc w:val="center"/>
    </w:pPr>
    <w:rPr>
      <w:sz w:val="18"/>
      <w:szCs w:val="18"/>
    </w:rPr>
  </w:style>
  <w:style w:type="character" w:styleId="661">
    <w:name w:val="page number"/>
    <w:basedOn w:val="656"/>
    <w:uiPriority w:val="0"/>
    <w:qFormat/>
    <w:pPr>
      <w:pBdr/>
      <w:spacing/>
      <w:ind/>
    </w:pPr>
  </w:style>
  <w:style w:type="character" w:styleId="662" w:customStyle="1">
    <w:name w:val="页脚 Char"/>
    <w:basedOn w:val="656"/>
    <w:link w:val="659"/>
    <w:uiPriority w:val="99"/>
    <w:qFormat/>
    <w:pPr>
      <w:pBdr/>
      <w:spacing/>
      <w:ind/>
    </w:pPr>
    <w:rPr>
      <w:rFonts w:ascii="Calibri" w:hAnsi="Calibri" w:eastAsia="宋体" w:cs="Calibri"/>
      <w:sz w:val="18"/>
      <w:szCs w:val="18"/>
    </w:rPr>
  </w:style>
  <w:style w:type="character" w:styleId="663" w:customStyle="1">
    <w:name w:val="批注框文本 Char"/>
    <w:basedOn w:val="656"/>
    <w:link w:val="658"/>
    <w:uiPriority w:val="99"/>
    <w:semiHidden/>
    <w:qFormat/>
    <w:pPr>
      <w:pBdr/>
      <w:spacing/>
      <w:ind/>
    </w:pPr>
    <w:rPr>
      <w:rFonts w:ascii="Calibri" w:hAnsi="Calibri" w:eastAsia="宋体" w:cs="Calibri"/>
      <w:sz w:val="18"/>
      <w:szCs w:val="18"/>
    </w:rPr>
  </w:style>
  <w:style w:type="numbering" w:styleId="339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CHINA</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匿名</cp:lastModifiedBy>
  <cp:revision>4</cp:revision>
  <dcterms:created xsi:type="dcterms:W3CDTF">2023-02-10T18:13:00Z</dcterms:created>
  <dcterms:modified xsi:type="dcterms:W3CDTF">2025-03-24T08:34:10Z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8ECDD79223A342D79B8C21960D6F0CB1</vt:lpwstr>
  </property>
</Properties>
</file>