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8A414F">
      <w:pPr>
        <w:spacing w:line="540" w:lineRule="exact"/>
        <w:jc w:val="center"/>
        <w:rPr>
          <w:rFonts w:ascii="Arial Narrow" w:hAnsi="Arial Narrow" w:eastAsia="仿宋_GB2312" w:cs="Arial Narrow"/>
          <w:sz w:val="24"/>
          <w:szCs w:val="24"/>
        </w:rPr>
      </w:pPr>
    </w:p>
    <w:p w14:paraId="52F1ECBB">
      <w:pPr>
        <w:spacing w:line="540" w:lineRule="exact"/>
        <w:jc w:val="center"/>
        <w:rPr>
          <w:rFonts w:ascii="Arial Narrow" w:hAnsi="Arial Narrow" w:eastAsia="仿宋_GB2312" w:cs="Arial Narrow"/>
          <w:b/>
          <w:sz w:val="24"/>
          <w:szCs w:val="24"/>
        </w:rPr>
      </w:pPr>
    </w:p>
    <w:p w14:paraId="5AADFC36">
      <w:pPr>
        <w:spacing w:line="540" w:lineRule="exact"/>
        <w:jc w:val="center"/>
        <w:rPr>
          <w:rFonts w:ascii="Arial Narrow" w:hAnsi="Arial Narrow" w:eastAsia="仿宋_GB2312" w:cs="Arial Narrow"/>
          <w:b/>
          <w:sz w:val="24"/>
          <w:szCs w:val="24"/>
        </w:rPr>
      </w:pPr>
    </w:p>
    <w:p w14:paraId="7598962C">
      <w:pPr>
        <w:spacing w:line="540" w:lineRule="exact"/>
        <w:jc w:val="center"/>
        <w:rPr>
          <w:rFonts w:ascii="Arial Narrow" w:hAnsi="Arial Narrow" w:eastAsia="仿宋_GB2312" w:cs="Arial Narrow"/>
          <w:b/>
          <w:sz w:val="24"/>
          <w:szCs w:val="24"/>
        </w:rPr>
      </w:pPr>
    </w:p>
    <w:p w14:paraId="1C4A86D4">
      <w:pPr>
        <w:spacing w:line="540" w:lineRule="exact"/>
        <w:jc w:val="center"/>
        <w:rPr>
          <w:rFonts w:ascii="Arial Narrow" w:hAnsi="Arial Narrow" w:eastAsia="仿宋_GB2312" w:cs="Arial Narrow"/>
          <w:b/>
          <w:sz w:val="24"/>
          <w:szCs w:val="24"/>
        </w:rPr>
      </w:pPr>
    </w:p>
    <w:p w14:paraId="3FB85728">
      <w:pPr>
        <w:spacing w:line="540" w:lineRule="exact"/>
        <w:jc w:val="center"/>
        <w:rPr>
          <w:rFonts w:ascii="Arial Narrow" w:hAnsi="Arial Narrow" w:eastAsia="仿宋_GB2312" w:cs="Arial Narrow"/>
          <w:b/>
          <w:sz w:val="44"/>
          <w:szCs w:val="44"/>
        </w:rPr>
      </w:pPr>
    </w:p>
    <w:p w14:paraId="7BDE4F54">
      <w:pPr>
        <w:spacing w:line="540" w:lineRule="exact"/>
        <w:jc w:val="center"/>
        <w:rPr>
          <w:rFonts w:ascii="Arial Narrow" w:hAnsi="Arial Narrow" w:eastAsia="仿宋_GB2312" w:cs="Arial Narrow"/>
          <w:b/>
          <w:sz w:val="44"/>
          <w:szCs w:val="44"/>
        </w:rPr>
      </w:pPr>
      <w:bookmarkStart w:id="1" w:name="_GoBack"/>
      <w:r>
        <w:rPr>
          <w:rFonts w:hint="eastAsia" w:ascii="Arial Narrow" w:hAnsi="Arial Narrow" w:eastAsia="仿宋_GB2312" w:cs="Arial Narrow"/>
          <w:b/>
          <w:sz w:val="44"/>
          <w:szCs w:val="44"/>
        </w:rPr>
        <w:t>202</w:t>
      </w:r>
      <w:r>
        <w:rPr>
          <w:rFonts w:hint="eastAsia" w:ascii="Arial Narrow" w:hAnsi="Arial Narrow" w:eastAsia="仿宋_GB2312" w:cs="Arial Narrow"/>
          <w:b/>
          <w:sz w:val="44"/>
          <w:szCs w:val="44"/>
          <w:lang w:val="en-US" w:eastAsia="zh-CN"/>
        </w:rPr>
        <w:t>4</w:t>
      </w:r>
      <w:r>
        <w:rPr>
          <w:rFonts w:hint="eastAsia" w:ascii="Arial Narrow" w:hAnsi="Arial Narrow" w:eastAsia="仿宋_GB2312" w:cs="Arial Narrow"/>
          <w:b/>
          <w:sz w:val="44"/>
          <w:szCs w:val="44"/>
        </w:rPr>
        <w:t>年部门</w:t>
      </w:r>
      <w:r>
        <w:rPr>
          <w:rFonts w:ascii="Arial Narrow" w:hAnsi="Arial Narrow" w:eastAsia="仿宋_GB2312" w:cs="Arial Narrow"/>
          <w:b/>
          <w:sz w:val="44"/>
          <w:szCs w:val="44"/>
        </w:rPr>
        <w:t>整体支出绩效自评报告</w:t>
      </w:r>
    </w:p>
    <w:bookmarkEnd w:id="1"/>
    <w:p w14:paraId="1A876C5C">
      <w:pPr>
        <w:tabs>
          <w:tab w:val="left" w:pos="1460"/>
        </w:tabs>
        <w:spacing w:line="540" w:lineRule="exact"/>
        <w:ind w:firstLine="482"/>
        <w:rPr>
          <w:rFonts w:ascii="Arial Narrow" w:hAnsi="Arial Narrow" w:eastAsia="仿宋_GB2312" w:cs="Arial Narrow"/>
          <w:b/>
          <w:sz w:val="24"/>
          <w:szCs w:val="24"/>
        </w:rPr>
      </w:pPr>
      <w:r>
        <w:rPr>
          <w:rFonts w:ascii="Arial Narrow" w:hAnsi="Arial Narrow" w:eastAsia="仿宋_GB2312" w:cs="Arial Narrow"/>
          <w:b/>
          <w:sz w:val="24"/>
          <w:szCs w:val="24"/>
        </w:rPr>
        <w:tab/>
      </w:r>
    </w:p>
    <w:p w14:paraId="55FC6BE2">
      <w:pPr>
        <w:spacing w:line="540" w:lineRule="exact"/>
        <w:ind w:firstLine="482"/>
        <w:rPr>
          <w:rFonts w:ascii="Arial Narrow" w:hAnsi="Arial Narrow" w:eastAsia="仿宋_GB2312" w:cs="Arial Narrow"/>
          <w:b/>
          <w:sz w:val="24"/>
          <w:szCs w:val="24"/>
        </w:rPr>
      </w:pPr>
    </w:p>
    <w:p w14:paraId="5D5EBC4D">
      <w:pPr>
        <w:widowControl/>
        <w:spacing w:line="540" w:lineRule="exact"/>
        <w:ind w:firstLine="790"/>
        <w:jc w:val="left"/>
        <w:rPr>
          <w:rFonts w:ascii="Arial Narrow" w:hAnsi="Arial Narrow" w:eastAsia="仿宋_GB2312" w:cs="Arial Narrow"/>
          <w:b/>
          <w:bCs/>
          <w:sz w:val="32"/>
          <w:szCs w:val="24"/>
          <w:lang w:bidi="he-IL"/>
        </w:rPr>
      </w:pPr>
    </w:p>
    <w:p w14:paraId="1FB630BF">
      <w:pPr>
        <w:widowControl/>
        <w:spacing w:line="540" w:lineRule="exact"/>
        <w:ind w:firstLine="790"/>
        <w:jc w:val="left"/>
        <w:rPr>
          <w:rFonts w:ascii="Arial Narrow" w:hAnsi="Arial Narrow" w:eastAsia="仿宋_GB2312" w:cs="Arial Narrow"/>
          <w:b/>
          <w:bCs/>
          <w:sz w:val="32"/>
          <w:szCs w:val="24"/>
          <w:lang w:bidi="he-IL"/>
        </w:rPr>
      </w:pPr>
    </w:p>
    <w:p w14:paraId="512200A3">
      <w:pPr>
        <w:widowControl/>
        <w:spacing w:line="540" w:lineRule="exact"/>
        <w:jc w:val="left"/>
        <w:rPr>
          <w:rFonts w:ascii="Arial Narrow" w:hAnsi="Arial Narrow" w:eastAsia="仿宋_GB2312" w:cs="Arial Narrow"/>
          <w:b/>
          <w:bCs/>
          <w:sz w:val="32"/>
          <w:szCs w:val="24"/>
          <w:lang w:bidi="he-IL"/>
        </w:rPr>
      </w:pPr>
    </w:p>
    <w:p w14:paraId="21095100">
      <w:pPr>
        <w:widowControl/>
        <w:spacing w:line="540" w:lineRule="exact"/>
        <w:jc w:val="left"/>
        <w:rPr>
          <w:rFonts w:ascii="Arial Narrow" w:hAnsi="Arial Narrow" w:eastAsia="仿宋_GB2312" w:cs="Arial Narrow"/>
          <w:b/>
          <w:bCs/>
          <w:sz w:val="32"/>
          <w:szCs w:val="24"/>
          <w:lang w:bidi="he-IL"/>
        </w:rPr>
      </w:pPr>
    </w:p>
    <w:p w14:paraId="08894548">
      <w:pPr>
        <w:widowControl/>
        <w:spacing w:line="540" w:lineRule="exact"/>
        <w:jc w:val="left"/>
        <w:rPr>
          <w:rFonts w:ascii="Arial Narrow" w:hAnsi="Arial Narrow" w:eastAsia="仿宋_GB2312" w:cs="Arial Narrow"/>
          <w:b/>
          <w:bCs/>
          <w:sz w:val="32"/>
          <w:szCs w:val="24"/>
          <w:lang w:bidi="he-IL"/>
        </w:rPr>
      </w:pPr>
    </w:p>
    <w:p w14:paraId="084E85B8">
      <w:pPr>
        <w:ind w:firstLine="1606"/>
        <w:rPr>
          <w:rFonts w:ascii="Arial Narrow" w:hAnsi="Arial Narrow" w:eastAsia="仿宋_GB2312" w:cs="Arial Narrow"/>
          <w:b/>
          <w:bCs/>
          <w:sz w:val="32"/>
          <w:szCs w:val="24"/>
          <w:lang w:bidi="he-IL"/>
        </w:rPr>
      </w:pPr>
      <w:r>
        <w:rPr>
          <w:rFonts w:hint="eastAsia" w:ascii="Arial Narrow" w:hAnsi="Arial Narrow" w:eastAsia="仿宋_GB2312" w:cs="Arial Narrow"/>
          <w:b/>
          <w:bCs/>
          <w:sz w:val="32"/>
          <w:szCs w:val="24"/>
          <w:lang w:bidi="he-IL"/>
        </w:rPr>
        <w:t>单位名称：</w:t>
      </w:r>
      <w:r>
        <w:rPr>
          <w:rFonts w:hint="eastAsia" w:ascii="Arial Narrow" w:hAnsi="Arial Narrow" w:eastAsia="仿宋_GB2312" w:cs="Arial Narrow"/>
          <w:b/>
          <w:bCs/>
          <w:sz w:val="32"/>
          <w:szCs w:val="24"/>
          <w:u w:val="single"/>
          <w:lang w:bidi="he-IL"/>
        </w:rPr>
        <w:t>随州市城市防洪排水事业发展中心</w:t>
      </w:r>
    </w:p>
    <w:p w14:paraId="027571C5">
      <w:pPr>
        <w:ind w:firstLine="1606"/>
        <w:rPr>
          <w:rFonts w:ascii="Arial Narrow" w:hAnsi="Arial Narrow" w:eastAsia="仿宋_GB2312" w:cs="Arial Narrow"/>
          <w:b/>
          <w:bCs/>
          <w:sz w:val="32"/>
          <w:szCs w:val="24"/>
          <w:lang w:bidi="he-IL"/>
        </w:rPr>
      </w:pPr>
      <w:r>
        <w:rPr>
          <w:rFonts w:hint="eastAsia" w:ascii="Arial Narrow" w:hAnsi="Arial Narrow" w:eastAsia="仿宋_GB2312" w:cs="Arial Narrow"/>
          <w:b/>
          <w:bCs/>
          <w:sz w:val="32"/>
          <w:szCs w:val="24"/>
          <w:lang w:bidi="he-IL"/>
        </w:rPr>
        <w:t>主管单位：</w:t>
      </w:r>
      <w:r>
        <w:rPr>
          <w:rFonts w:hint="eastAsia" w:ascii="Arial Narrow" w:hAnsi="Arial Narrow" w:eastAsia="仿宋_GB2312" w:cs="Arial Narrow"/>
          <w:b/>
          <w:bCs/>
          <w:sz w:val="32"/>
          <w:szCs w:val="24"/>
          <w:u w:val="single"/>
          <w:lang w:bidi="he-IL"/>
        </w:rPr>
        <w:t>随州市住房和</w:t>
      </w:r>
      <w:r>
        <w:rPr>
          <w:rFonts w:hint="eastAsia" w:ascii="Arial Narrow" w:hAnsi="Arial Narrow" w:eastAsia="仿宋_GB2312" w:cs="Arial Narrow"/>
          <w:b/>
          <w:bCs/>
          <w:sz w:val="32"/>
          <w:szCs w:val="24"/>
          <w:u w:val="single"/>
          <w:lang w:val="en-US" w:eastAsia="zh-CN" w:bidi="he-IL"/>
        </w:rPr>
        <w:t>城市更新</w:t>
      </w:r>
      <w:r>
        <w:rPr>
          <w:rFonts w:hint="eastAsia" w:ascii="Arial Narrow" w:hAnsi="Arial Narrow" w:eastAsia="仿宋_GB2312" w:cs="Arial Narrow"/>
          <w:b/>
          <w:bCs/>
          <w:sz w:val="32"/>
          <w:szCs w:val="24"/>
          <w:u w:val="single"/>
          <w:lang w:bidi="he-IL"/>
        </w:rPr>
        <w:t>局</w:t>
      </w:r>
    </w:p>
    <w:p w14:paraId="097B3FBC">
      <w:pPr>
        <w:spacing w:line="800" w:lineRule="exact"/>
        <w:ind w:left="1600" w:right="-168" w:firstLine="321"/>
        <w:jc w:val="left"/>
        <w:rPr>
          <w:rFonts w:ascii="Arial Narrow" w:hAnsi="Arial Narrow" w:eastAsia="仿宋_GB2312" w:cs="Arial Narrow"/>
          <w:b/>
          <w:bCs/>
          <w:sz w:val="32"/>
          <w:szCs w:val="24"/>
          <w:u w:val="single"/>
          <w:lang w:bidi="he-IL"/>
        </w:rPr>
      </w:pPr>
    </w:p>
    <w:p w14:paraId="135B791E">
      <w:pPr>
        <w:spacing w:line="540" w:lineRule="exact"/>
        <w:ind w:firstLine="964"/>
        <w:rPr>
          <w:rFonts w:ascii="Arial Narrow" w:hAnsi="Arial Narrow" w:eastAsia="仿宋_GB2312" w:cs="Arial Narrow"/>
          <w:b/>
          <w:bCs/>
          <w:sz w:val="32"/>
          <w:szCs w:val="24"/>
          <w:lang w:bidi="he-IL"/>
        </w:rPr>
      </w:pPr>
    </w:p>
    <w:p w14:paraId="316A5715">
      <w:pPr>
        <w:spacing w:line="540" w:lineRule="exact"/>
        <w:rPr>
          <w:rFonts w:ascii="Arial Narrow" w:hAnsi="Arial Narrow" w:eastAsia="仿宋_GB2312" w:cs="Arial Narrow"/>
          <w:b/>
          <w:sz w:val="24"/>
          <w:szCs w:val="24"/>
        </w:rPr>
      </w:pPr>
    </w:p>
    <w:p w14:paraId="33770AEC">
      <w:pPr>
        <w:spacing w:line="540" w:lineRule="exact"/>
        <w:jc w:val="center"/>
        <w:rPr>
          <w:rFonts w:ascii="Arial Narrow" w:hAnsi="Arial Narrow" w:eastAsia="仿宋_GB2312" w:cs="Arial Narrow"/>
        </w:rPr>
        <w:sectPr>
          <w:headerReference r:id="rId5" w:type="first"/>
          <w:footerReference r:id="rId8" w:type="first"/>
          <w:headerReference r:id="rId3" w:type="default"/>
          <w:footerReference r:id="rId6" w:type="default"/>
          <w:headerReference r:id="rId4" w:type="even"/>
          <w:footerReference r:id="rId7" w:type="even"/>
          <w:pgSz w:w="11906" w:h="16838" w:orient="landscape"/>
          <w:pgMar w:top="2098" w:right="1474" w:bottom="1985" w:left="1588" w:header="851" w:footer="992" w:gutter="0"/>
          <w:pgNumType w:start="0"/>
          <w:cols w:space="425" w:num="1"/>
          <w:titlePg/>
        </w:sectPr>
      </w:pPr>
      <w:r>
        <w:rPr>
          <w:rFonts w:ascii="Arial Narrow" w:hAnsi="Arial Narrow" w:eastAsia="仿宋_GB2312" w:cs="Arial Narrow"/>
          <w:b/>
          <w:bCs/>
          <w:sz w:val="32"/>
          <w:szCs w:val="32"/>
          <w:lang w:bidi="he-IL"/>
        </w:rPr>
        <w:t>二〇</w:t>
      </w:r>
      <w:r>
        <w:rPr>
          <w:rFonts w:hint="eastAsia" w:ascii="Arial Narrow" w:hAnsi="Arial Narrow" w:eastAsia="仿宋_GB2312" w:cs="Arial Narrow"/>
          <w:b/>
          <w:bCs/>
          <w:sz w:val="32"/>
          <w:szCs w:val="32"/>
          <w:lang w:bidi="he-IL"/>
        </w:rPr>
        <w:t>二</w:t>
      </w:r>
      <w:r>
        <w:rPr>
          <w:rFonts w:hint="eastAsia" w:ascii="Arial Narrow" w:hAnsi="Arial Narrow" w:eastAsia="仿宋_GB2312" w:cs="Arial Narrow"/>
          <w:b/>
          <w:bCs/>
          <w:sz w:val="32"/>
          <w:szCs w:val="32"/>
          <w:lang w:val="en-US" w:eastAsia="zh-CN" w:bidi="he-IL"/>
        </w:rPr>
        <w:t>五</w:t>
      </w:r>
      <w:r>
        <w:rPr>
          <w:rFonts w:ascii="Arial Narrow" w:hAnsi="Arial Narrow" w:eastAsia="仿宋_GB2312" w:cs="Arial Narrow"/>
          <w:b/>
          <w:bCs/>
          <w:sz w:val="32"/>
          <w:szCs w:val="32"/>
          <w:lang w:bidi="he-IL"/>
        </w:rPr>
        <w:t>年</w:t>
      </w:r>
      <w:r>
        <w:rPr>
          <w:rFonts w:hint="eastAsia" w:ascii="Arial Narrow" w:hAnsi="Arial Narrow" w:eastAsia="仿宋_GB2312" w:cs="Arial Narrow"/>
          <w:b/>
          <w:bCs/>
          <w:sz w:val="32"/>
          <w:szCs w:val="32"/>
          <w:lang w:bidi="he-IL"/>
        </w:rPr>
        <w:t>四月</w:t>
      </w:r>
    </w:p>
    <w:p w14:paraId="46E80670">
      <w:pPr>
        <w:ind w:firstLine="885"/>
        <w:rPr>
          <w:rFonts w:ascii="Arial Narrow" w:hAnsi="Arial Narrow" w:eastAsia="仿宋_GB2312" w:cs="Arial Narrow"/>
          <w:b/>
          <w:bCs/>
          <w:sz w:val="36"/>
          <w:szCs w:val="36"/>
        </w:rPr>
      </w:pPr>
      <w:r>
        <w:rPr>
          <w:rFonts w:hint="eastAsia" w:ascii="Arial Narrow" w:hAnsi="Arial Narrow" w:eastAsia="仿宋_GB2312" w:cs="Arial Narrow"/>
          <w:b/>
          <w:bCs/>
          <w:sz w:val="36"/>
          <w:szCs w:val="36"/>
        </w:rPr>
        <w:t>202</w:t>
      </w:r>
      <w:r>
        <w:rPr>
          <w:rFonts w:hint="eastAsia" w:ascii="Arial Narrow" w:hAnsi="Arial Narrow" w:eastAsia="仿宋_GB2312" w:cs="Arial Narrow"/>
          <w:b/>
          <w:bCs/>
          <w:sz w:val="36"/>
          <w:szCs w:val="36"/>
          <w:lang w:val="en-US" w:eastAsia="zh-CN"/>
        </w:rPr>
        <w:t>4</w:t>
      </w:r>
      <w:r>
        <w:rPr>
          <w:rFonts w:hint="eastAsia" w:ascii="Arial Narrow" w:hAnsi="Arial Narrow" w:eastAsia="仿宋_GB2312" w:cs="Arial Narrow"/>
          <w:b/>
          <w:bCs/>
          <w:sz w:val="36"/>
          <w:szCs w:val="36"/>
        </w:rPr>
        <w:t>年随州市城市防洪排水事业发展中心</w:t>
      </w:r>
    </w:p>
    <w:p w14:paraId="5A05E6EF">
      <w:pPr>
        <w:pStyle w:val="3"/>
        <w:spacing w:before="100" w:after="100" w:line="360" w:lineRule="auto"/>
        <w:ind w:firstLine="2168"/>
        <w:jc w:val="left"/>
        <w:rPr>
          <w:rFonts w:ascii="Arial Narrow" w:hAnsi="Arial Narrow" w:eastAsia="仿宋_GB2312" w:cs="Arial Narrow"/>
          <w:sz w:val="36"/>
          <w:szCs w:val="36"/>
        </w:rPr>
      </w:pPr>
      <w:r>
        <w:rPr>
          <w:rFonts w:hint="eastAsia" w:ascii="Arial Narrow" w:hAnsi="Arial Narrow" w:eastAsia="仿宋_GB2312" w:cs="Arial Narrow"/>
          <w:sz w:val="36"/>
          <w:szCs w:val="36"/>
        </w:rPr>
        <w:t>部门整体支出绩效自评报告</w:t>
      </w:r>
    </w:p>
    <w:p w14:paraId="3D5B6322">
      <w:pPr>
        <w:pStyle w:val="3"/>
        <w:spacing w:before="100" w:after="100" w:line="240" w:lineRule="auto"/>
        <w:jc w:val="left"/>
        <w:rPr>
          <w:rFonts w:ascii="Arial Narrow" w:hAnsi="Arial Narrow" w:eastAsia="仿宋_GB2312" w:cs="Arial Narrow"/>
          <w:sz w:val="36"/>
          <w:szCs w:val="36"/>
        </w:rPr>
      </w:pPr>
      <w:r>
        <w:rPr>
          <w:rFonts w:hint="eastAsia" w:ascii="仿宋" w:hAnsi="仿宋" w:eastAsia="仿宋" w:cs="仿宋"/>
          <w:b w:val="0"/>
          <w:bCs w:val="0"/>
          <w:sz w:val="28"/>
          <w:szCs w:val="28"/>
        </w:rPr>
        <w:t xml:space="preserve">    根据《市财政局关于开展202</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年度市级财政支出绩效自评工作的通知》</w:t>
      </w:r>
      <w:r>
        <w:rPr>
          <w:rFonts w:hint="eastAsia" w:ascii="仿宋" w:hAnsi="仿宋" w:eastAsia="仿宋" w:cs="仿宋"/>
          <w:bCs w:val="0"/>
          <w:sz w:val="28"/>
          <w:szCs w:val="28"/>
        </w:rPr>
        <w:t>，</w:t>
      </w:r>
      <w:r>
        <w:rPr>
          <w:rFonts w:hint="eastAsia" w:ascii="仿宋" w:hAnsi="仿宋" w:eastAsia="仿宋" w:cs="仿宋"/>
          <w:b w:val="0"/>
          <w:bCs w:val="0"/>
          <w:sz w:val="28"/>
          <w:szCs w:val="28"/>
        </w:rPr>
        <w:t>随州市城市防洪排水事业发展中心成立绩效评价工作专班，实施具体评价工作。此次绩效评价历经前期准备、核查与调查、数据汇总、撰写报告四个阶段，综合使用了历史动态比较法、目标评价法、定量与定性评价等方式，从投入、过程、产出、效益和满意度等五个方面对随州市城市防洪排水事业发展中心202</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年度部门整体支出进行分析评价，形成本评价结果。</w:t>
      </w:r>
    </w:p>
    <w:p w14:paraId="09DF5119">
      <w:pPr>
        <w:rPr>
          <w:rFonts w:ascii="仿宋" w:hAnsi="仿宋" w:eastAsia="仿宋" w:cs="仿宋"/>
          <w:b/>
          <w:bCs/>
          <w:sz w:val="28"/>
          <w:szCs w:val="28"/>
        </w:rPr>
      </w:pPr>
      <w:r>
        <w:rPr>
          <w:rFonts w:hint="eastAsia" w:ascii="仿宋" w:hAnsi="仿宋" w:eastAsia="仿宋" w:cs="仿宋"/>
          <w:b/>
          <w:bCs/>
          <w:sz w:val="28"/>
          <w:szCs w:val="28"/>
        </w:rPr>
        <w:t xml:space="preserve"> 一、自评结论</w:t>
      </w:r>
    </w:p>
    <w:p w14:paraId="79B6E531">
      <w:pPr>
        <w:rPr>
          <w:rFonts w:ascii="仿宋" w:hAnsi="仿宋" w:eastAsia="仿宋" w:cs="仿宋"/>
          <w:sz w:val="28"/>
          <w:szCs w:val="28"/>
        </w:rPr>
      </w:pPr>
      <w:r>
        <w:rPr>
          <w:rFonts w:hint="eastAsia" w:ascii="仿宋" w:hAnsi="仿宋" w:eastAsia="仿宋" w:cs="仿宋"/>
          <w:sz w:val="28"/>
          <w:szCs w:val="28"/>
        </w:rPr>
        <w:t>（一）自评得分</w:t>
      </w:r>
    </w:p>
    <w:p w14:paraId="72E6D542">
      <w:pPr>
        <w:pStyle w:val="3"/>
        <w:spacing w:before="100" w:after="100" w:line="240" w:lineRule="auto"/>
        <w:ind w:firstLine="560"/>
        <w:rPr>
          <w:rFonts w:ascii="仿宋" w:hAnsi="仿宋" w:eastAsia="仿宋" w:cs="仿宋"/>
          <w:b w:val="0"/>
          <w:bCs w:val="0"/>
          <w:sz w:val="28"/>
          <w:szCs w:val="28"/>
        </w:rPr>
      </w:pP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年整体支出绩效自评报告”绩效评价综合得分为9</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分，评价等级为优。</w:t>
      </w:r>
    </w:p>
    <w:p w14:paraId="794FFF17">
      <w:pPr>
        <w:rPr>
          <w:rFonts w:ascii="仿宋" w:hAnsi="仿宋" w:eastAsia="仿宋" w:cs="仿宋"/>
          <w:sz w:val="28"/>
          <w:szCs w:val="28"/>
        </w:rPr>
      </w:pPr>
      <w:r>
        <w:rPr>
          <w:rFonts w:hint="eastAsia" w:ascii="仿宋" w:hAnsi="仿宋" w:eastAsia="仿宋" w:cs="仿宋"/>
          <w:sz w:val="28"/>
          <w:szCs w:val="28"/>
        </w:rPr>
        <w:t>（二）部门整体绩效目标完成情况</w:t>
      </w:r>
    </w:p>
    <w:p w14:paraId="7B9D77CB">
      <w:pPr>
        <w:ind w:firstLine="560"/>
        <w:rPr>
          <w:rFonts w:ascii="仿宋" w:hAnsi="仿宋" w:eastAsia="仿宋" w:cs="仿宋"/>
          <w:sz w:val="28"/>
          <w:szCs w:val="28"/>
        </w:rPr>
      </w:pPr>
      <w:r>
        <w:rPr>
          <w:rFonts w:hint="eastAsia" w:ascii="仿宋" w:hAnsi="仿宋" w:eastAsia="仿宋" w:cs="仿宋"/>
          <w:sz w:val="28"/>
          <w:szCs w:val="28"/>
        </w:rPr>
        <w:t>1、预算执行率情况：202</w:t>
      </w:r>
      <w:r>
        <w:rPr>
          <w:rFonts w:hint="eastAsia" w:ascii="仿宋" w:hAnsi="仿宋" w:eastAsia="仿宋" w:cs="仿宋"/>
          <w:sz w:val="28"/>
          <w:szCs w:val="28"/>
          <w:lang w:val="en-US" w:eastAsia="zh-CN"/>
        </w:rPr>
        <w:t>4</w:t>
      </w:r>
      <w:r>
        <w:rPr>
          <w:rFonts w:hint="eastAsia" w:ascii="仿宋" w:hAnsi="仿宋" w:eastAsia="仿宋" w:cs="仿宋"/>
          <w:sz w:val="28"/>
          <w:szCs w:val="28"/>
        </w:rPr>
        <w:t>年部门整体预算调整后支出总额</w:t>
      </w:r>
      <w:r>
        <w:rPr>
          <w:rFonts w:hint="eastAsia" w:ascii="仿宋_GB2312" w:hAnsi="仿宋_GB2312" w:eastAsia="仿宋_GB2312" w:cs="仿宋_GB2312"/>
          <w:sz w:val="30"/>
          <w:szCs w:val="30"/>
          <w:lang w:val="en-US" w:eastAsia="zh-CN"/>
        </w:rPr>
        <w:t>5054.06</w:t>
      </w:r>
      <w:r>
        <w:rPr>
          <w:rFonts w:ascii="仿宋_GB2312" w:hAnsi="仿宋_GB2312" w:eastAsia="仿宋_GB2312" w:cs="仿宋_GB2312"/>
          <w:sz w:val="30"/>
          <w:szCs w:val="30"/>
        </w:rPr>
        <w:t xml:space="preserve"> </w:t>
      </w:r>
      <w:r>
        <w:rPr>
          <w:rFonts w:hint="eastAsia" w:ascii="仿宋" w:hAnsi="仿宋" w:eastAsia="仿宋" w:cs="仿宋"/>
          <w:sz w:val="28"/>
          <w:szCs w:val="28"/>
        </w:rPr>
        <w:t xml:space="preserve"> 万元，实际支出总</w:t>
      </w:r>
      <w:r>
        <w:rPr>
          <w:rFonts w:hint="eastAsia" w:ascii="仿宋_GB2312" w:hAnsi="仿宋_GB2312" w:eastAsia="仿宋_GB2312" w:cs="仿宋_GB2312"/>
          <w:sz w:val="30"/>
          <w:szCs w:val="30"/>
          <w:lang w:val="en-US" w:eastAsia="zh-CN"/>
        </w:rPr>
        <w:t>5054.06</w:t>
      </w:r>
      <w:r>
        <w:rPr>
          <w:rFonts w:hint="eastAsia" w:ascii="仿宋" w:hAnsi="仿宋" w:eastAsia="仿宋" w:cs="仿宋"/>
          <w:sz w:val="28"/>
          <w:szCs w:val="28"/>
        </w:rPr>
        <w:t>万元，预算执行率100%。</w:t>
      </w:r>
    </w:p>
    <w:p w14:paraId="05D08D24">
      <w:pPr>
        <w:ind w:firstLine="560"/>
        <w:rPr>
          <w:rFonts w:ascii="仿宋" w:hAnsi="仿宋" w:eastAsia="仿宋" w:cs="仿宋"/>
          <w:sz w:val="28"/>
          <w:szCs w:val="28"/>
        </w:rPr>
      </w:pPr>
      <w:r>
        <w:rPr>
          <w:rFonts w:hint="eastAsia" w:ascii="仿宋" w:hAnsi="仿宋" w:eastAsia="仿宋" w:cs="仿宋"/>
          <w:sz w:val="28"/>
          <w:szCs w:val="28"/>
        </w:rPr>
        <w:t>2、部门整体绩效目标：</w:t>
      </w:r>
    </w:p>
    <w:p w14:paraId="559E1EAD">
      <w:pPr>
        <w:ind w:firstLine="560"/>
        <w:rPr>
          <w:rFonts w:hint="eastAsia" w:ascii="仿宋" w:hAnsi="仿宋" w:eastAsia="仿宋" w:cs="仿宋"/>
          <w:sz w:val="28"/>
          <w:szCs w:val="28"/>
        </w:rPr>
      </w:pPr>
      <w:r>
        <w:rPr>
          <w:rFonts w:hint="eastAsia" w:ascii="仿宋" w:hAnsi="仿宋" w:eastAsia="仿宋" w:cs="仿宋"/>
          <w:sz w:val="28"/>
          <w:szCs w:val="28"/>
        </w:rPr>
        <w:t>扎实推进防汛排涝工作，强化污水监管，狠抓项目建设，规范排水设施管护；全力推进重点项目建设，推进</w:t>
      </w:r>
      <w:r>
        <w:rPr>
          <w:rFonts w:hint="eastAsia" w:ascii="仿宋" w:hAnsi="仿宋" w:eastAsia="仿宋" w:cs="仿宋"/>
          <w:sz w:val="28"/>
          <w:szCs w:val="28"/>
          <w:lang w:val="en-US" w:eastAsia="zh-CN"/>
        </w:rPr>
        <w:t>随州市东壕街老街河道整治项目、</w:t>
      </w:r>
      <w:r>
        <w:rPr>
          <w:rFonts w:hint="eastAsia" w:ascii="仿宋" w:hAnsi="仿宋" w:eastAsia="仿宋" w:cs="仿宋"/>
          <w:sz w:val="28"/>
          <w:szCs w:val="28"/>
        </w:rPr>
        <w:t>污泥无害化处置、</w:t>
      </w:r>
      <w:r>
        <w:rPr>
          <w:rFonts w:hint="eastAsia" w:ascii="仿宋" w:hAnsi="仿宋" w:eastAsia="仿宋" w:cs="仿宋"/>
          <w:sz w:val="28"/>
          <w:szCs w:val="28"/>
          <w:lang w:val="en-US" w:eastAsia="zh-CN"/>
        </w:rPr>
        <w:t>随州市中心城区</w:t>
      </w:r>
      <w:r>
        <w:rPr>
          <w:rFonts w:hint="eastAsia" w:ascii="仿宋" w:hAnsi="仿宋" w:eastAsia="仿宋" w:cs="仿宋"/>
          <w:sz w:val="28"/>
          <w:szCs w:val="28"/>
        </w:rPr>
        <w:t>易涝点整治、</w:t>
      </w:r>
      <w:r>
        <w:rPr>
          <w:rFonts w:hint="eastAsia" w:ascii="仿宋" w:hAnsi="仿宋" w:eastAsia="仿宋" w:cs="仿宋"/>
          <w:sz w:val="28"/>
          <w:szCs w:val="28"/>
          <w:lang w:val="en-US" w:eastAsia="zh-CN"/>
        </w:rPr>
        <w:t>随州市老城区防洪排涝</w:t>
      </w:r>
      <w:r>
        <w:rPr>
          <w:rFonts w:hint="eastAsia" w:ascii="仿宋" w:hAnsi="仿宋" w:eastAsia="仿宋" w:cs="仿宋"/>
          <w:sz w:val="28"/>
          <w:szCs w:val="28"/>
        </w:rPr>
        <w:t>设施建设改造项目、</w:t>
      </w:r>
      <w:r>
        <w:rPr>
          <w:rFonts w:hint="eastAsia" w:ascii="仿宋" w:hAnsi="仿宋" w:eastAsia="仿宋" w:cs="仿宋"/>
          <w:sz w:val="28"/>
          <w:szCs w:val="28"/>
          <w:lang w:val="en-US" w:eastAsia="zh-CN"/>
        </w:rPr>
        <w:t>随州市市本级排涝泵站项目、</w:t>
      </w:r>
      <w:r>
        <w:rPr>
          <w:rFonts w:hint="eastAsia" w:ascii="仿宋" w:hAnsi="仿宋" w:eastAsia="仿宋" w:cs="仿宋"/>
          <w:sz w:val="28"/>
          <w:szCs w:val="28"/>
        </w:rPr>
        <w:t>老城区污水收集管网项目建设进度；加大排水行业行政执法力度，维护城市排水设施安全，规范各种排水行为，实现行政执法新的突破。</w:t>
      </w:r>
    </w:p>
    <w:p w14:paraId="6C404145">
      <w:pPr>
        <w:ind w:firstLine="560"/>
        <w:rPr>
          <w:rFonts w:hint="eastAsia" w:ascii="仿宋" w:hAnsi="仿宋" w:eastAsia="仿宋" w:cs="仿宋"/>
          <w:sz w:val="28"/>
          <w:szCs w:val="28"/>
        </w:rPr>
      </w:pPr>
      <w:r>
        <w:rPr>
          <w:rFonts w:hint="eastAsia" w:ascii="仿宋" w:hAnsi="仿宋" w:eastAsia="仿宋" w:cs="仿宋"/>
          <w:sz w:val="28"/>
          <w:szCs w:val="28"/>
        </w:rPr>
        <w:t>（三）存在的问题和原因</w:t>
      </w:r>
    </w:p>
    <w:p w14:paraId="1D191E8E">
      <w:pPr>
        <w:ind w:firstLine="560"/>
        <w:rPr>
          <w:rFonts w:hint="eastAsia" w:ascii="仿宋" w:hAnsi="仿宋" w:eastAsia="仿宋" w:cs="仿宋"/>
          <w:sz w:val="28"/>
          <w:szCs w:val="28"/>
        </w:rPr>
      </w:pPr>
      <w:r>
        <w:rPr>
          <w:rFonts w:hint="eastAsia" w:ascii="仿宋" w:hAnsi="仿宋" w:eastAsia="仿宋" w:cs="仿宋"/>
          <w:sz w:val="28"/>
          <w:szCs w:val="28"/>
        </w:rPr>
        <w:t>1、年初预算合计</w:t>
      </w:r>
      <w:r>
        <w:rPr>
          <w:rFonts w:hint="eastAsia" w:ascii="仿宋" w:hAnsi="仿宋" w:eastAsia="仿宋" w:cs="仿宋"/>
          <w:sz w:val="28"/>
          <w:szCs w:val="28"/>
          <w:lang w:val="en-US" w:eastAsia="zh-CN"/>
        </w:rPr>
        <w:t>2860.91</w:t>
      </w:r>
      <w:r>
        <w:rPr>
          <w:rFonts w:hint="eastAsia" w:ascii="仿宋" w:hAnsi="仿宋" w:eastAsia="仿宋" w:cs="仿宋"/>
          <w:sz w:val="28"/>
          <w:szCs w:val="28"/>
        </w:rPr>
        <w:t>万元（基本支出预算数</w:t>
      </w:r>
      <w:r>
        <w:rPr>
          <w:rFonts w:hint="eastAsia" w:ascii="仿宋" w:hAnsi="仿宋" w:eastAsia="仿宋" w:cs="仿宋"/>
          <w:sz w:val="28"/>
          <w:szCs w:val="28"/>
          <w:lang w:val="en-US" w:eastAsia="zh-CN"/>
        </w:rPr>
        <w:t>865.68</w:t>
      </w:r>
      <w:r>
        <w:rPr>
          <w:rFonts w:hint="eastAsia" w:ascii="仿宋" w:hAnsi="仿宋" w:eastAsia="仿宋" w:cs="仿宋"/>
          <w:sz w:val="28"/>
          <w:szCs w:val="28"/>
        </w:rPr>
        <w:t>万元，年初项目支出预算数</w:t>
      </w:r>
      <w:r>
        <w:rPr>
          <w:rFonts w:hint="eastAsia" w:ascii="仿宋" w:hAnsi="仿宋" w:eastAsia="仿宋" w:cs="仿宋"/>
          <w:sz w:val="28"/>
          <w:szCs w:val="28"/>
          <w:lang w:val="en-US" w:eastAsia="zh-CN"/>
        </w:rPr>
        <w:t>1995.23</w:t>
      </w:r>
      <w:r>
        <w:rPr>
          <w:rFonts w:hint="eastAsia" w:ascii="仿宋" w:hAnsi="仿宋" w:eastAsia="仿宋" w:cs="仿宋"/>
          <w:sz w:val="28"/>
          <w:szCs w:val="28"/>
        </w:rPr>
        <w:t>万元）；年末决算合计5,054.06万元（基本支出决算数</w:t>
      </w:r>
      <w:r>
        <w:rPr>
          <w:rFonts w:hint="eastAsia" w:ascii="仿宋" w:hAnsi="仿宋" w:eastAsia="仿宋" w:cs="仿宋"/>
          <w:sz w:val="28"/>
          <w:szCs w:val="28"/>
          <w:lang w:val="en-US" w:eastAsia="zh-CN"/>
        </w:rPr>
        <w:t>661.98</w:t>
      </w:r>
      <w:r>
        <w:rPr>
          <w:rFonts w:hint="eastAsia" w:ascii="仿宋" w:hAnsi="仿宋" w:eastAsia="仿宋" w:cs="仿宋"/>
          <w:sz w:val="28"/>
          <w:szCs w:val="28"/>
        </w:rPr>
        <w:t>万元，项目支出决算数4,392.08万元）；基本支出调预算</w:t>
      </w:r>
      <w:r>
        <w:rPr>
          <w:rFonts w:hint="eastAsia" w:ascii="仿宋" w:hAnsi="仿宋" w:eastAsia="仿宋" w:cs="仿宋"/>
          <w:sz w:val="28"/>
          <w:szCs w:val="28"/>
          <w:lang w:val="en-US" w:eastAsia="zh-CN"/>
        </w:rPr>
        <w:t>203.70</w:t>
      </w:r>
      <w:r>
        <w:rPr>
          <w:rFonts w:hint="eastAsia" w:ascii="仿宋" w:hAnsi="仿宋" w:eastAsia="仿宋" w:cs="仿宋"/>
          <w:sz w:val="28"/>
          <w:szCs w:val="28"/>
        </w:rPr>
        <w:t>万元，项目支出调预算</w:t>
      </w:r>
      <w:r>
        <w:rPr>
          <w:rFonts w:hint="eastAsia" w:ascii="仿宋" w:hAnsi="仿宋" w:eastAsia="仿宋" w:cs="仿宋"/>
          <w:sz w:val="28"/>
          <w:szCs w:val="28"/>
          <w:lang w:val="en-US" w:eastAsia="zh-CN"/>
        </w:rPr>
        <w:t>2396.85</w:t>
      </w:r>
      <w:r>
        <w:rPr>
          <w:rFonts w:hint="eastAsia" w:ascii="仿宋" w:hAnsi="仿宋" w:eastAsia="仿宋" w:cs="仿宋"/>
          <w:sz w:val="28"/>
          <w:szCs w:val="28"/>
        </w:rPr>
        <w:t>万元，预算编制存在测算不准确，造成调整金额比例过大。</w:t>
      </w:r>
    </w:p>
    <w:p w14:paraId="538D6189">
      <w:pPr>
        <w:ind w:firstLine="560"/>
        <w:rPr>
          <w:rFonts w:hint="eastAsia" w:ascii="仿宋" w:hAnsi="仿宋" w:eastAsia="仿宋" w:cs="仿宋"/>
          <w:sz w:val="28"/>
          <w:szCs w:val="28"/>
        </w:rPr>
      </w:pPr>
      <w:r>
        <w:rPr>
          <w:rFonts w:hint="eastAsia" w:ascii="仿宋" w:hAnsi="仿宋" w:eastAsia="仿宋" w:cs="仿宋"/>
          <w:sz w:val="28"/>
          <w:szCs w:val="28"/>
        </w:rPr>
        <w:t>2、政府采购执行率，政府采购预算</w:t>
      </w:r>
      <w:r>
        <w:rPr>
          <w:rFonts w:hint="eastAsia" w:ascii="仿宋" w:hAnsi="仿宋" w:eastAsia="仿宋" w:cs="仿宋"/>
          <w:sz w:val="28"/>
          <w:szCs w:val="28"/>
          <w:lang w:val="en-US" w:eastAsia="zh-CN"/>
        </w:rPr>
        <w:t>283.00</w:t>
      </w:r>
      <w:r>
        <w:rPr>
          <w:rFonts w:hint="eastAsia" w:ascii="仿宋" w:hAnsi="仿宋" w:eastAsia="仿宋" w:cs="仿宋"/>
          <w:sz w:val="28"/>
          <w:szCs w:val="28"/>
        </w:rPr>
        <w:t>万元，实际决算支出</w:t>
      </w:r>
      <w:r>
        <w:rPr>
          <w:rFonts w:hint="eastAsia" w:ascii="仿宋" w:hAnsi="仿宋" w:eastAsia="仿宋" w:cs="仿宋"/>
          <w:sz w:val="28"/>
          <w:szCs w:val="28"/>
          <w:lang w:val="en-US" w:eastAsia="zh-CN"/>
        </w:rPr>
        <w:t>4392.08</w:t>
      </w:r>
      <w:r>
        <w:rPr>
          <w:rFonts w:hint="eastAsia" w:ascii="仿宋" w:hAnsi="仿宋" w:eastAsia="仿宋" w:cs="仿宋"/>
          <w:sz w:val="28"/>
          <w:szCs w:val="28"/>
        </w:rPr>
        <w:t>万元，实际预算与决算相差</w:t>
      </w:r>
      <w:r>
        <w:rPr>
          <w:rFonts w:hint="eastAsia" w:ascii="仿宋" w:hAnsi="仿宋" w:eastAsia="仿宋" w:cs="仿宋"/>
          <w:sz w:val="28"/>
          <w:szCs w:val="28"/>
          <w:lang w:val="en-US" w:eastAsia="zh-CN"/>
        </w:rPr>
        <w:t>4109.08</w:t>
      </w:r>
      <w:r>
        <w:rPr>
          <w:rFonts w:hint="eastAsia" w:ascii="仿宋" w:hAnsi="仿宋" w:eastAsia="仿宋" w:cs="仿宋"/>
          <w:sz w:val="28"/>
          <w:szCs w:val="28"/>
        </w:rPr>
        <w:t>万元，预算</w:t>
      </w:r>
      <w:r>
        <w:rPr>
          <w:rFonts w:hint="eastAsia" w:ascii="仿宋" w:hAnsi="仿宋" w:eastAsia="仿宋" w:cs="仿宋"/>
          <w:sz w:val="28"/>
          <w:szCs w:val="28"/>
          <w:lang w:val="en-US" w:eastAsia="zh-CN"/>
        </w:rPr>
        <w:t>未将债券类项目纳入其中</w:t>
      </w:r>
      <w:r>
        <w:rPr>
          <w:rFonts w:hint="eastAsia" w:ascii="仿宋" w:hAnsi="仿宋" w:eastAsia="仿宋" w:cs="仿宋"/>
          <w:sz w:val="28"/>
          <w:szCs w:val="28"/>
        </w:rPr>
        <w:t>，造成预算编制与实际使用情况相差较大。</w:t>
      </w:r>
    </w:p>
    <w:p w14:paraId="48298DB9">
      <w:pPr>
        <w:ind w:firstLine="560"/>
        <w:rPr>
          <w:rFonts w:hint="eastAsia" w:ascii="仿宋" w:hAnsi="仿宋" w:eastAsia="仿宋" w:cs="仿宋"/>
          <w:sz w:val="28"/>
          <w:szCs w:val="28"/>
        </w:rPr>
      </w:pPr>
      <w:r>
        <w:rPr>
          <w:rFonts w:hint="eastAsia" w:ascii="仿宋" w:hAnsi="仿宋" w:eastAsia="仿宋" w:cs="仿宋"/>
          <w:sz w:val="28"/>
          <w:szCs w:val="28"/>
        </w:rPr>
        <w:t>（四）下一步拟改进措施</w:t>
      </w:r>
    </w:p>
    <w:p w14:paraId="411A7618">
      <w:pPr>
        <w:ind w:firstLine="560"/>
        <w:rPr>
          <w:rFonts w:hint="eastAsia" w:ascii="仿宋" w:hAnsi="仿宋" w:eastAsia="仿宋" w:cs="仿宋"/>
          <w:sz w:val="28"/>
          <w:szCs w:val="28"/>
        </w:rPr>
      </w:pPr>
      <w:r>
        <w:rPr>
          <w:rFonts w:hint="eastAsia" w:ascii="仿宋" w:hAnsi="仿宋" w:eastAsia="仿宋" w:cs="仿宋"/>
          <w:sz w:val="28"/>
          <w:szCs w:val="28"/>
        </w:rPr>
        <w:t>1、加强预算编制，提高预算科学性，以进一步提财政资金的使用    效益；预算编报测算不准确，各相关部门申报预算资金时应结合本年工作计划与上年实际执行情况对本年度基本支出明细、项目支出金额进行合理测算，避免造成预算编制与实际使用情况相差较大。特别是本年项目支出年初预算</w:t>
      </w:r>
      <w:r>
        <w:rPr>
          <w:rFonts w:hint="eastAsia" w:ascii="仿宋" w:hAnsi="仿宋" w:eastAsia="仿宋" w:cs="仿宋"/>
          <w:sz w:val="28"/>
          <w:szCs w:val="28"/>
          <w:lang w:val="en-US" w:eastAsia="zh-CN"/>
        </w:rPr>
        <w:t>1995.23</w:t>
      </w:r>
      <w:r>
        <w:rPr>
          <w:rFonts w:hint="eastAsia" w:ascii="仿宋" w:hAnsi="仿宋" w:eastAsia="仿宋" w:cs="仿宋"/>
          <w:sz w:val="28"/>
          <w:szCs w:val="28"/>
        </w:rPr>
        <w:t>万元，调预算</w:t>
      </w:r>
      <w:r>
        <w:rPr>
          <w:rFonts w:hint="eastAsia" w:ascii="仿宋" w:hAnsi="仿宋" w:eastAsia="仿宋" w:cs="仿宋"/>
          <w:sz w:val="28"/>
          <w:szCs w:val="28"/>
          <w:lang w:val="en-US" w:eastAsia="zh-CN"/>
        </w:rPr>
        <w:t>2396.85</w:t>
      </w:r>
      <w:r>
        <w:rPr>
          <w:rFonts w:hint="eastAsia" w:ascii="仿宋" w:hAnsi="仿宋" w:eastAsia="仿宋" w:cs="仿宋"/>
          <w:sz w:val="28"/>
          <w:szCs w:val="28"/>
        </w:rPr>
        <w:t>万元，调整金额比例过大。</w:t>
      </w:r>
    </w:p>
    <w:p w14:paraId="5DAE438C">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政府采购预算：采购机关根据事业发展计划和行政任务编制的、并经过规定程序批准的年度政府采购计划。实际预算与决算相差4109.08万元，申报预算资金时应合理测算，避免造成预算编制与实际使用情况相差较大。</w:t>
      </w:r>
    </w:p>
    <w:p w14:paraId="138E0641">
      <w:pPr>
        <w:ind w:firstLine="56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rPr>
        <w:t>3、要加强财务管理，预决算编制水平，严格按照预决算编制</w:t>
      </w:r>
      <w:r>
        <w:rPr>
          <w:rFonts w:hint="eastAsia" w:ascii="仿宋" w:hAnsi="仿宋" w:eastAsia="仿宋" w:cs="仿宋"/>
          <w:sz w:val="28"/>
          <w:szCs w:val="28"/>
          <w:lang w:val="en-US" w:eastAsia="zh-CN" w:bidi="ar-SA"/>
        </w:rPr>
        <w:t>的相关制度和要求进行预算编制，进一步提高预算编制的科学性、严谨性和可控性，决算要真实、准确、完整的反映单位财务状况。</w:t>
      </w:r>
    </w:p>
    <w:p w14:paraId="62F72FD9">
      <w:pPr>
        <w:pStyle w:val="19"/>
        <w:spacing w:line="240" w:lineRule="auto"/>
        <w:ind w:left="0"/>
        <w:rPr>
          <w:rFonts w:ascii="仿宋" w:hAnsi="仿宋" w:eastAsia="仿宋" w:cs="仿宋"/>
          <w:b/>
          <w:bCs/>
          <w:sz w:val="28"/>
          <w:szCs w:val="28"/>
        </w:rPr>
      </w:pPr>
      <w:r>
        <w:rPr>
          <w:rFonts w:hint="eastAsia" w:ascii="仿宋" w:hAnsi="仿宋" w:eastAsia="仿宋" w:cs="仿宋"/>
          <w:b/>
          <w:bCs/>
          <w:sz w:val="28"/>
          <w:szCs w:val="28"/>
        </w:rPr>
        <w:t>二、佐证材料</w:t>
      </w:r>
    </w:p>
    <w:p w14:paraId="5302AF23">
      <w:pPr>
        <w:pStyle w:val="19"/>
        <w:spacing w:line="240" w:lineRule="auto"/>
        <w:ind w:left="0"/>
        <w:rPr>
          <w:rFonts w:ascii="仿宋" w:hAnsi="仿宋" w:eastAsia="仿宋" w:cs="仿宋"/>
          <w:sz w:val="28"/>
          <w:szCs w:val="28"/>
        </w:rPr>
      </w:pPr>
      <w:r>
        <w:rPr>
          <w:rFonts w:hint="eastAsia" w:ascii="仿宋" w:hAnsi="仿宋" w:eastAsia="仿宋" w:cs="仿宋"/>
          <w:sz w:val="28"/>
          <w:szCs w:val="28"/>
        </w:rPr>
        <w:t>（一）、基本情况</w:t>
      </w:r>
    </w:p>
    <w:p w14:paraId="4CE68406">
      <w:pPr>
        <w:pStyle w:val="19"/>
        <w:spacing w:line="240" w:lineRule="auto"/>
        <w:ind w:left="0" w:firstLine="560"/>
        <w:rPr>
          <w:rFonts w:hint="eastAsia" w:ascii="仿宋" w:hAnsi="仿宋" w:eastAsia="仿宋" w:cs="仿宋"/>
          <w:sz w:val="28"/>
          <w:szCs w:val="28"/>
        </w:rPr>
      </w:pPr>
      <w:r>
        <w:rPr>
          <w:rFonts w:hint="eastAsia" w:ascii="仿宋" w:hAnsi="仿宋" w:eastAsia="仿宋" w:cs="仿宋"/>
          <w:sz w:val="28"/>
          <w:szCs w:val="28"/>
        </w:rPr>
        <w:t>1、人员情况：</w:t>
      </w:r>
    </w:p>
    <w:p w14:paraId="49121ED1">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随州市城市防洪排水事业发展中心隶属于随州市住</w:t>
      </w:r>
      <w:r>
        <w:rPr>
          <w:rFonts w:hint="eastAsia" w:ascii="仿宋" w:hAnsi="仿宋" w:eastAsia="仿宋" w:cs="仿宋"/>
          <w:sz w:val="28"/>
          <w:szCs w:val="28"/>
          <w:lang w:val="en-US" w:eastAsia="zh-CN"/>
        </w:rPr>
        <w:t>更</w:t>
      </w:r>
      <w:r>
        <w:rPr>
          <w:rFonts w:hint="eastAsia" w:ascii="仿宋" w:hAnsi="仿宋" w:eastAsia="仿宋" w:cs="仿宋"/>
          <w:sz w:val="28"/>
          <w:szCs w:val="28"/>
        </w:rPr>
        <w:t>局,独立核算,核定编制45人,现有在职职工41人,退休职工2</w:t>
      </w:r>
      <w:r>
        <w:rPr>
          <w:rFonts w:hint="eastAsia" w:ascii="仿宋" w:hAnsi="仿宋" w:eastAsia="仿宋" w:cs="仿宋"/>
          <w:sz w:val="28"/>
          <w:szCs w:val="28"/>
          <w:lang w:val="en-US" w:eastAsia="zh-CN"/>
        </w:rPr>
        <w:t>3</w:t>
      </w:r>
      <w:r>
        <w:rPr>
          <w:rFonts w:hint="eastAsia" w:ascii="仿宋" w:hAnsi="仿宋" w:eastAsia="仿宋" w:cs="仿宋"/>
          <w:sz w:val="28"/>
          <w:szCs w:val="28"/>
        </w:rPr>
        <w:t>人。</w:t>
      </w:r>
    </w:p>
    <w:p w14:paraId="61FC7860">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2、主要职责是：</w:t>
      </w:r>
    </w:p>
    <w:p w14:paraId="2186B591">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随州市城市防洪排水事业发展中心主要职能是负责城市防洪规划、排水规划的实施，负责城市规划区范围内的河道堤防防洪工程建设、排水工程设施的建设、管理及养护，承担城区防汛日常工作。承担污水提升泵站污水输送的管护，负责污水处理厂运行和污水处理费征收监管。完成上级交办的其他任务。</w:t>
      </w:r>
    </w:p>
    <w:p w14:paraId="3EE60CEB">
      <w:pPr>
        <w:pStyle w:val="19"/>
        <w:numPr>
          <w:ilvl w:val="0"/>
          <w:numId w:val="1"/>
        </w:numPr>
        <w:spacing w:line="240" w:lineRule="auto"/>
        <w:ind w:left="0" w:firstLine="560"/>
        <w:rPr>
          <w:rFonts w:hint="eastAsia" w:ascii="仿宋" w:hAnsi="仿宋" w:eastAsia="仿宋" w:cs="仿宋"/>
          <w:sz w:val="28"/>
          <w:szCs w:val="28"/>
        </w:rPr>
      </w:pPr>
      <w:r>
        <w:rPr>
          <w:rFonts w:hint="eastAsia" w:ascii="仿宋" w:hAnsi="仿宋" w:eastAsia="仿宋" w:cs="仿宋"/>
          <w:sz w:val="28"/>
          <w:szCs w:val="28"/>
        </w:rPr>
        <w:t>预决算支出情况：</w:t>
      </w:r>
    </w:p>
    <w:p w14:paraId="665EFF09">
      <w:pPr>
        <w:pStyle w:val="19"/>
        <w:numPr>
          <w:ilvl w:val="0"/>
          <w:numId w:val="0"/>
        </w:numPr>
        <w:spacing w:line="240" w:lineRule="auto"/>
        <w:ind w:firstLine="560"/>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年部门整体预算支出总额</w:t>
      </w:r>
      <w:r>
        <w:rPr>
          <w:rFonts w:hint="eastAsia" w:ascii="仿宋" w:hAnsi="仿宋" w:eastAsia="仿宋" w:cs="仿宋"/>
          <w:sz w:val="28"/>
          <w:szCs w:val="28"/>
          <w:lang w:val="en-US" w:eastAsia="zh-CN"/>
        </w:rPr>
        <w:t>2860.91</w:t>
      </w:r>
      <w:r>
        <w:rPr>
          <w:rFonts w:hint="eastAsia" w:ascii="仿宋" w:hAnsi="仿宋" w:eastAsia="仿宋" w:cs="仿宋"/>
          <w:sz w:val="28"/>
          <w:szCs w:val="28"/>
        </w:rPr>
        <w:t>万元，其中基本支出预算</w:t>
      </w:r>
      <w:r>
        <w:rPr>
          <w:rFonts w:hint="eastAsia" w:ascii="仿宋" w:hAnsi="仿宋" w:eastAsia="仿宋" w:cs="仿宋"/>
          <w:sz w:val="28"/>
          <w:szCs w:val="28"/>
          <w:lang w:val="en-US" w:eastAsia="zh-CN"/>
        </w:rPr>
        <w:t>865.68</w:t>
      </w:r>
      <w:r>
        <w:rPr>
          <w:rFonts w:hint="eastAsia" w:ascii="仿宋" w:hAnsi="仿宋" w:eastAsia="仿宋" w:cs="仿宋"/>
          <w:sz w:val="28"/>
          <w:szCs w:val="28"/>
        </w:rPr>
        <w:t>万元，项目支出预算</w:t>
      </w:r>
      <w:r>
        <w:rPr>
          <w:rFonts w:hint="eastAsia" w:ascii="仿宋" w:hAnsi="仿宋" w:eastAsia="仿宋" w:cs="仿宋"/>
          <w:sz w:val="28"/>
          <w:szCs w:val="28"/>
          <w:lang w:val="en-US" w:eastAsia="zh-CN"/>
        </w:rPr>
        <w:t>1995.23</w:t>
      </w:r>
      <w:r>
        <w:rPr>
          <w:rFonts w:hint="eastAsia" w:ascii="仿宋" w:hAnsi="仿宋" w:eastAsia="仿宋" w:cs="仿宋"/>
          <w:sz w:val="28"/>
          <w:szCs w:val="28"/>
        </w:rPr>
        <w:t>万元；202</w:t>
      </w:r>
      <w:r>
        <w:rPr>
          <w:rFonts w:hint="eastAsia" w:ascii="仿宋" w:hAnsi="仿宋" w:eastAsia="仿宋" w:cs="仿宋"/>
          <w:sz w:val="28"/>
          <w:szCs w:val="28"/>
          <w:lang w:val="en-US" w:eastAsia="zh-CN"/>
        </w:rPr>
        <w:t>4</w:t>
      </w:r>
      <w:r>
        <w:rPr>
          <w:rFonts w:hint="eastAsia" w:ascii="仿宋" w:hAnsi="仿宋" w:eastAsia="仿宋" w:cs="仿宋"/>
          <w:sz w:val="28"/>
          <w:szCs w:val="28"/>
        </w:rPr>
        <w:t>年度实际支出总额</w:t>
      </w:r>
      <w:r>
        <w:rPr>
          <w:rFonts w:hint="eastAsia" w:ascii="仿宋" w:hAnsi="仿宋" w:eastAsia="仿宋" w:cs="仿宋"/>
          <w:sz w:val="28"/>
          <w:szCs w:val="28"/>
          <w:lang w:val="en-US" w:eastAsia="zh-CN"/>
        </w:rPr>
        <w:t>5054.06</w:t>
      </w:r>
      <w:r>
        <w:rPr>
          <w:rFonts w:hint="eastAsia" w:ascii="仿宋" w:hAnsi="仿宋" w:eastAsia="仿宋" w:cs="仿宋"/>
          <w:sz w:val="28"/>
          <w:szCs w:val="28"/>
        </w:rPr>
        <w:t>万元，其中基本支出</w:t>
      </w:r>
      <w:r>
        <w:rPr>
          <w:rFonts w:hint="eastAsia" w:ascii="仿宋" w:hAnsi="仿宋" w:eastAsia="仿宋" w:cs="仿宋"/>
          <w:sz w:val="28"/>
          <w:szCs w:val="28"/>
          <w:lang w:val="en-US" w:eastAsia="zh-CN"/>
        </w:rPr>
        <w:t>661.98</w:t>
      </w:r>
      <w:r>
        <w:rPr>
          <w:rFonts w:hint="eastAsia" w:ascii="仿宋" w:hAnsi="仿宋" w:eastAsia="仿宋" w:cs="仿宋"/>
          <w:sz w:val="28"/>
          <w:szCs w:val="28"/>
        </w:rPr>
        <w:t>万元，项目支出</w:t>
      </w:r>
      <w:r>
        <w:rPr>
          <w:rFonts w:hint="eastAsia" w:ascii="仿宋" w:hAnsi="仿宋" w:eastAsia="仿宋" w:cs="仿宋"/>
          <w:sz w:val="28"/>
          <w:szCs w:val="28"/>
          <w:lang w:val="en-US" w:eastAsia="zh-CN"/>
        </w:rPr>
        <w:t>4392.08</w:t>
      </w:r>
      <w:r>
        <w:rPr>
          <w:rFonts w:hint="eastAsia" w:ascii="仿宋" w:hAnsi="仿宋" w:eastAsia="仿宋" w:cs="仿宋"/>
          <w:sz w:val="28"/>
          <w:szCs w:val="28"/>
        </w:rPr>
        <w:t>万元。按支出性质分：基本支出</w:t>
      </w:r>
      <w:r>
        <w:rPr>
          <w:rFonts w:hint="eastAsia" w:ascii="仿宋" w:hAnsi="仿宋" w:eastAsia="仿宋" w:cs="仿宋"/>
          <w:sz w:val="28"/>
          <w:szCs w:val="28"/>
          <w:lang w:val="en-US" w:eastAsia="zh-CN"/>
        </w:rPr>
        <w:t>661.98</w:t>
      </w:r>
      <w:r>
        <w:rPr>
          <w:rFonts w:hint="eastAsia" w:ascii="仿宋" w:hAnsi="仿宋" w:eastAsia="仿宋" w:cs="仿宋"/>
          <w:sz w:val="28"/>
          <w:szCs w:val="28"/>
        </w:rPr>
        <w:t>万元（其中人员支出</w:t>
      </w:r>
      <w:r>
        <w:rPr>
          <w:rFonts w:hint="eastAsia" w:ascii="仿宋" w:hAnsi="仿宋" w:eastAsia="仿宋" w:cs="仿宋"/>
          <w:sz w:val="28"/>
          <w:szCs w:val="28"/>
          <w:lang w:val="en-US" w:eastAsia="zh-CN"/>
        </w:rPr>
        <w:t>617.87</w:t>
      </w:r>
      <w:r>
        <w:rPr>
          <w:rFonts w:hint="eastAsia" w:ascii="仿宋" w:hAnsi="仿宋" w:eastAsia="仿宋" w:cs="仿宋"/>
          <w:sz w:val="28"/>
          <w:szCs w:val="28"/>
        </w:rPr>
        <w:t>万元，日常公用支出</w:t>
      </w:r>
      <w:r>
        <w:rPr>
          <w:rFonts w:hint="eastAsia" w:ascii="仿宋" w:hAnsi="仿宋" w:eastAsia="仿宋" w:cs="仿宋"/>
          <w:sz w:val="28"/>
          <w:szCs w:val="28"/>
          <w:lang w:val="en-US" w:eastAsia="zh-CN"/>
        </w:rPr>
        <w:t>44.11</w:t>
      </w:r>
      <w:r>
        <w:rPr>
          <w:rFonts w:hint="eastAsia" w:ascii="仿宋" w:hAnsi="仿宋" w:eastAsia="仿宋" w:cs="仿宋"/>
          <w:sz w:val="28"/>
          <w:szCs w:val="28"/>
        </w:rPr>
        <w:t>万元），项目支出</w:t>
      </w:r>
      <w:r>
        <w:rPr>
          <w:rFonts w:hint="eastAsia" w:ascii="仿宋" w:hAnsi="仿宋" w:eastAsia="仿宋" w:cs="仿宋"/>
          <w:sz w:val="28"/>
          <w:szCs w:val="28"/>
          <w:lang w:val="en-US" w:eastAsia="zh-CN"/>
        </w:rPr>
        <w:t>4392.08</w:t>
      </w:r>
      <w:r>
        <w:rPr>
          <w:rFonts w:hint="eastAsia" w:ascii="仿宋" w:hAnsi="仿宋" w:eastAsia="仿宋" w:cs="仿宋"/>
          <w:sz w:val="28"/>
          <w:szCs w:val="28"/>
        </w:rPr>
        <w:t>万元。按经济分类分：工资福利支出</w:t>
      </w:r>
      <w:r>
        <w:rPr>
          <w:rFonts w:hint="eastAsia" w:ascii="仿宋" w:hAnsi="仿宋" w:eastAsia="仿宋" w:cs="仿宋"/>
          <w:sz w:val="28"/>
          <w:szCs w:val="28"/>
          <w:lang w:val="en-US" w:eastAsia="zh-CN"/>
        </w:rPr>
        <w:t>838.18</w:t>
      </w:r>
      <w:r>
        <w:rPr>
          <w:rFonts w:hint="eastAsia" w:ascii="仿宋" w:hAnsi="仿宋" w:eastAsia="仿宋" w:cs="仿宋"/>
          <w:sz w:val="28"/>
          <w:szCs w:val="28"/>
        </w:rPr>
        <w:t>万元；商品和服务支出</w:t>
      </w:r>
      <w:r>
        <w:rPr>
          <w:rFonts w:hint="eastAsia" w:ascii="仿宋" w:hAnsi="仿宋" w:eastAsia="仿宋" w:cs="仿宋"/>
          <w:sz w:val="28"/>
          <w:szCs w:val="28"/>
          <w:lang w:val="en-US" w:eastAsia="zh-CN"/>
        </w:rPr>
        <w:t>249.82</w:t>
      </w:r>
      <w:r>
        <w:rPr>
          <w:rFonts w:hint="eastAsia" w:ascii="仿宋" w:hAnsi="仿宋" w:eastAsia="仿宋" w:cs="仿宋"/>
          <w:sz w:val="28"/>
          <w:szCs w:val="28"/>
        </w:rPr>
        <w:t>万元; 对个人和家庭的补助支出</w:t>
      </w:r>
      <w:r>
        <w:rPr>
          <w:rFonts w:hint="eastAsia" w:ascii="仿宋" w:hAnsi="仿宋" w:eastAsia="仿宋" w:cs="仿宋"/>
          <w:sz w:val="28"/>
          <w:szCs w:val="28"/>
          <w:lang w:val="en-US" w:eastAsia="zh-CN"/>
        </w:rPr>
        <w:t>113.32</w:t>
      </w:r>
      <w:r>
        <w:rPr>
          <w:rFonts w:hint="eastAsia" w:ascii="仿宋" w:hAnsi="仿宋" w:eastAsia="仿宋" w:cs="仿宋"/>
          <w:sz w:val="28"/>
          <w:szCs w:val="28"/>
        </w:rPr>
        <w:t>万元; 资本性支出</w:t>
      </w:r>
      <w:r>
        <w:rPr>
          <w:rFonts w:hint="eastAsia" w:ascii="仿宋" w:hAnsi="仿宋" w:eastAsia="仿宋" w:cs="仿宋"/>
          <w:sz w:val="28"/>
          <w:szCs w:val="28"/>
          <w:lang w:val="en-US" w:eastAsia="zh-CN"/>
        </w:rPr>
        <w:t>3852.74</w:t>
      </w:r>
      <w:r>
        <w:rPr>
          <w:rFonts w:hint="eastAsia" w:ascii="仿宋" w:hAnsi="仿宋" w:eastAsia="仿宋" w:cs="仿宋"/>
          <w:sz w:val="28"/>
          <w:szCs w:val="28"/>
        </w:rPr>
        <w:t>万元。202</w:t>
      </w:r>
      <w:r>
        <w:rPr>
          <w:rFonts w:hint="eastAsia" w:ascii="仿宋" w:hAnsi="仿宋" w:eastAsia="仿宋" w:cs="仿宋"/>
          <w:sz w:val="28"/>
          <w:szCs w:val="28"/>
          <w:lang w:val="en-US" w:eastAsia="zh-CN"/>
        </w:rPr>
        <w:t>4</w:t>
      </w:r>
      <w:r>
        <w:rPr>
          <w:rFonts w:hint="eastAsia" w:ascii="仿宋" w:hAnsi="仿宋" w:eastAsia="仿宋" w:cs="仿宋"/>
          <w:sz w:val="28"/>
          <w:szCs w:val="28"/>
        </w:rPr>
        <w:t>年度完成了政府交办的各项任务。</w:t>
      </w:r>
    </w:p>
    <w:p w14:paraId="1BEBCC50">
      <w:pPr>
        <w:ind w:firstLine="560"/>
        <w:rPr>
          <w:rFonts w:ascii="仿宋" w:hAnsi="仿宋" w:eastAsia="仿宋" w:cs="仿宋"/>
          <w:sz w:val="28"/>
          <w:szCs w:val="28"/>
        </w:rPr>
      </w:pPr>
      <w:r>
        <w:rPr>
          <w:rFonts w:hint="eastAsia" w:ascii="仿宋" w:hAnsi="仿宋" w:eastAsia="仿宋" w:cs="仿宋"/>
          <w:sz w:val="28"/>
          <w:szCs w:val="28"/>
        </w:rPr>
        <w:t>4、202</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年度部门整体绩效目标情况： </w:t>
      </w:r>
    </w:p>
    <w:p w14:paraId="52C5F5C5">
      <w:pPr>
        <w:pStyle w:val="19"/>
        <w:spacing w:line="240" w:lineRule="auto"/>
        <w:ind w:left="0" w:firstLine="560"/>
        <w:rPr>
          <w:rFonts w:hint="eastAsia" w:ascii="仿宋" w:hAnsi="仿宋" w:eastAsia="仿宋" w:cs="仿宋"/>
          <w:sz w:val="28"/>
          <w:szCs w:val="28"/>
        </w:rPr>
      </w:pPr>
      <w:r>
        <w:rPr>
          <w:rFonts w:hint="eastAsia" w:ascii="仿宋" w:hAnsi="仿宋" w:eastAsia="仿宋" w:cs="仿宋"/>
          <w:sz w:val="28"/>
          <w:szCs w:val="28"/>
        </w:rPr>
        <w:t>我单位202</w:t>
      </w:r>
      <w:r>
        <w:rPr>
          <w:rFonts w:hint="eastAsia" w:ascii="仿宋" w:hAnsi="仿宋" w:eastAsia="仿宋" w:cs="仿宋"/>
          <w:sz w:val="28"/>
          <w:szCs w:val="28"/>
          <w:lang w:val="en-US" w:eastAsia="zh-CN"/>
        </w:rPr>
        <w:t>4</w:t>
      </w:r>
      <w:r>
        <w:rPr>
          <w:rFonts w:hint="eastAsia" w:ascii="仿宋" w:hAnsi="仿宋" w:eastAsia="仿宋" w:cs="仿宋"/>
          <w:sz w:val="28"/>
          <w:szCs w:val="28"/>
        </w:rPr>
        <w:t>年完成了城市防洪规划、排水规划的实施，监管了城市规划区范围内的河道堤防防洪工程建设、排水工程设施的建设、管理及养护，搞好城区日常防汛，保障了人民群众汛期出行和生命财产安全。加强污水提升泵站污水输送的管护，保障污水处理厂正常运转，并对污水处理费征收监管。全力推进了重点项目建设，推进污泥无害化处置、加强雨污分流、错接混接和易涝点整治及市本级排涝泵站建设，解决了人民群众关注的生活污水直排内涝等热点问题，不断满足人民群众日益增长的生态环境需要。</w:t>
      </w:r>
    </w:p>
    <w:p w14:paraId="3904C942">
      <w:pPr>
        <w:pStyle w:val="19"/>
        <w:spacing w:line="240" w:lineRule="auto"/>
        <w:ind w:left="0"/>
        <w:rPr>
          <w:rFonts w:ascii="仿宋" w:hAnsi="仿宋" w:eastAsia="仿宋" w:cs="仿宋"/>
          <w:b/>
          <w:bCs/>
          <w:sz w:val="28"/>
          <w:szCs w:val="28"/>
        </w:rPr>
      </w:pPr>
      <w:r>
        <w:rPr>
          <w:rFonts w:hint="eastAsia" w:ascii="仿宋" w:hAnsi="仿宋" w:eastAsia="仿宋" w:cs="仿宋"/>
          <w:b/>
          <w:bCs/>
          <w:sz w:val="28"/>
          <w:szCs w:val="28"/>
        </w:rPr>
        <w:t>（二）、部门自评工作开展情况</w:t>
      </w:r>
    </w:p>
    <w:p w14:paraId="7B30102A">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1、充分准备前期工作。我单位成立了随州市城市防洪排水事业发展中心202</w:t>
      </w:r>
      <w:r>
        <w:rPr>
          <w:rFonts w:hint="eastAsia" w:ascii="仿宋" w:hAnsi="仿宋" w:eastAsia="仿宋" w:cs="仿宋"/>
          <w:sz w:val="28"/>
          <w:szCs w:val="28"/>
          <w:lang w:val="en-US" w:eastAsia="zh-CN"/>
        </w:rPr>
        <w:t>4</w:t>
      </w:r>
      <w:r>
        <w:rPr>
          <w:rFonts w:hint="eastAsia" w:ascii="仿宋" w:hAnsi="仿宋" w:eastAsia="仿宋" w:cs="仿宋"/>
          <w:sz w:val="28"/>
          <w:szCs w:val="28"/>
        </w:rPr>
        <w:t>年度绩效评价工作领导小组。以单位一把手为组长，分管领导为副组长，各科室负责人为成员的绩效评价工作领导小组，抽调专人组建工作专班，具体负责绩效评价工作。根据绩效自评工作要求，制定了202</w:t>
      </w:r>
      <w:r>
        <w:rPr>
          <w:rFonts w:hint="eastAsia" w:ascii="仿宋" w:hAnsi="仿宋" w:eastAsia="仿宋" w:cs="仿宋"/>
          <w:sz w:val="28"/>
          <w:szCs w:val="28"/>
          <w:lang w:val="en-US" w:eastAsia="zh-CN"/>
        </w:rPr>
        <w:t>4</w:t>
      </w:r>
      <w:r>
        <w:rPr>
          <w:rFonts w:hint="eastAsia" w:ascii="仿宋" w:hAnsi="仿宋" w:eastAsia="仿宋" w:cs="仿宋"/>
          <w:sz w:val="28"/>
          <w:szCs w:val="28"/>
        </w:rPr>
        <w:t>年度绩效评价工作方案，对绩效评价工作的时间、步骤、措施等提出了具体要求。</w:t>
      </w:r>
    </w:p>
    <w:p w14:paraId="725A4F9A">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2、精心组织绩效评价。随州市城市防洪排水事业发展中心202</w:t>
      </w:r>
      <w:r>
        <w:rPr>
          <w:rFonts w:hint="eastAsia" w:ascii="仿宋" w:hAnsi="仿宋" w:eastAsia="仿宋" w:cs="仿宋"/>
          <w:sz w:val="28"/>
          <w:szCs w:val="28"/>
          <w:lang w:val="en-US" w:eastAsia="zh-CN"/>
        </w:rPr>
        <w:t>4</w:t>
      </w:r>
      <w:r>
        <w:rPr>
          <w:rFonts w:hint="eastAsia" w:ascii="仿宋" w:hAnsi="仿宋" w:eastAsia="仿宋" w:cs="仿宋"/>
          <w:sz w:val="28"/>
          <w:szCs w:val="28"/>
        </w:rPr>
        <w:t>年度绩效评价工作领导小组成员对绩效评价文件和相关政策依据进行了深入学习，了解绩效评价工作的重要性和必要性。由工作专班按照绩效评价工作方案的要求精心组织实施，搜集相关资料，查阅相关表格，核实相关数据，扎扎实实开展绩效自评工作。</w:t>
      </w:r>
    </w:p>
    <w:p w14:paraId="0A115CB7">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3、综合分析自评报告。绩效评价工作专班将采集的自评相关基础数据和资料进行整理汇总，并以预算申报的绩效目标为基础，根据公正公开、分组分类的原则，结合决算数据，对本年度实际的产出指标和效益指标进行分析，比较预算绩效目标完成情况，详细分析原因，提出建议，形成自评报告。</w:t>
      </w:r>
    </w:p>
    <w:p w14:paraId="76B55D12">
      <w:pPr>
        <w:pStyle w:val="19"/>
        <w:spacing w:line="240" w:lineRule="auto"/>
        <w:ind w:left="0"/>
        <w:rPr>
          <w:rFonts w:ascii="仿宋" w:hAnsi="仿宋" w:eastAsia="仿宋" w:cs="仿宋"/>
          <w:b/>
          <w:bCs/>
          <w:sz w:val="28"/>
          <w:szCs w:val="28"/>
        </w:rPr>
      </w:pPr>
      <w:r>
        <w:rPr>
          <w:rFonts w:hint="eastAsia" w:ascii="仿宋" w:hAnsi="仿宋" w:eastAsia="仿宋" w:cs="仿宋"/>
          <w:b/>
          <w:bCs/>
          <w:sz w:val="28"/>
          <w:szCs w:val="28"/>
        </w:rPr>
        <w:t>（三）、绩效目标完成情况分析</w:t>
      </w:r>
    </w:p>
    <w:p w14:paraId="53B738D5">
      <w:pPr>
        <w:pStyle w:val="19"/>
        <w:spacing w:line="240" w:lineRule="auto"/>
        <w:ind w:left="0"/>
        <w:rPr>
          <w:rFonts w:ascii="仿宋" w:hAnsi="仿宋" w:eastAsia="仿宋" w:cs="仿宋"/>
          <w:b/>
          <w:bCs/>
          <w:sz w:val="28"/>
          <w:szCs w:val="28"/>
        </w:rPr>
      </w:pPr>
      <w:r>
        <w:rPr>
          <w:rFonts w:hint="eastAsia" w:ascii="仿宋" w:hAnsi="仿宋" w:eastAsia="仿宋" w:cs="仿宋"/>
          <w:b/>
          <w:bCs/>
          <w:sz w:val="28"/>
          <w:szCs w:val="28"/>
        </w:rPr>
        <w:t>1、运行成本指标分析（8分）</w:t>
      </w:r>
    </w:p>
    <w:p w14:paraId="6C323597">
      <w:pPr>
        <w:pStyle w:val="19"/>
        <w:spacing w:line="240" w:lineRule="auto"/>
        <w:ind w:left="0" w:firstLine="281"/>
        <w:rPr>
          <w:rFonts w:ascii="仿宋" w:hAnsi="仿宋" w:eastAsia="仿宋" w:cs="仿宋"/>
          <w:b/>
          <w:bCs/>
          <w:sz w:val="28"/>
          <w:szCs w:val="28"/>
        </w:rPr>
      </w:pPr>
      <w:r>
        <w:rPr>
          <w:rFonts w:hint="eastAsia" w:ascii="仿宋" w:hAnsi="仿宋" w:eastAsia="仿宋" w:cs="仿宋"/>
          <w:b/>
          <w:bCs/>
          <w:sz w:val="28"/>
          <w:szCs w:val="28"/>
        </w:rPr>
        <w:t>（1）人员配置（2分）</w:t>
      </w:r>
    </w:p>
    <w:p w14:paraId="3F7E679B">
      <w:pPr>
        <w:pStyle w:val="19"/>
        <w:spacing w:line="240" w:lineRule="auto"/>
        <w:ind w:left="0" w:firstLine="280"/>
        <w:rPr>
          <w:rFonts w:ascii="仿宋" w:hAnsi="仿宋" w:eastAsia="仿宋" w:cs="仿宋"/>
          <w:sz w:val="28"/>
          <w:szCs w:val="28"/>
        </w:rPr>
      </w:pPr>
      <w:r>
        <w:rPr>
          <w:rFonts w:hint="eastAsia" w:ascii="仿宋" w:hAnsi="仿宋" w:eastAsia="仿宋" w:cs="仿宋"/>
          <w:sz w:val="28"/>
          <w:szCs w:val="28"/>
        </w:rPr>
        <w:t>在职人员控制率（2分）</w:t>
      </w:r>
    </w:p>
    <w:p w14:paraId="72248F66">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bCs/>
          <w:sz w:val="28"/>
          <w:szCs w:val="28"/>
        </w:rPr>
        <w:t>随州市城市防洪排水事业发展中心</w:t>
      </w:r>
      <w:r>
        <w:rPr>
          <w:rFonts w:hint="eastAsia" w:ascii="仿宋" w:hAnsi="仿宋" w:eastAsia="仿宋" w:cs="仿宋"/>
          <w:sz w:val="28"/>
          <w:szCs w:val="28"/>
        </w:rPr>
        <w:t>提供的202</w:t>
      </w:r>
      <w:r>
        <w:rPr>
          <w:rFonts w:hint="eastAsia" w:ascii="仿宋" w:hAnsi="仿宋" w:eastAsia="仿宋" w:cs="仿宋"/>
          <w:sz w:val="28"/>
          <w:szCs w:val="28"/>
          <w:lang w:val="en-US" w:eastAsia="zh-CN"/>
        </w:rPr>
        <w:t>4</w:t>
      </w:r>
      <w:r>
        <w:rPr>
          <w:rFonts w:hint="eastAsia" w:ascii="仿宋" w:hAnsi="仿宋" w:eastAsia="仿宋" w:cs="仿宋"/>
          <w:sz w:val="28"/>
          <w:szCs w:val="28"/>
        </w:rPr>
        <w:t>年度预算和决算的相关数据，202</w:t>
      </w:r>
      <w:r>
        <w:rPr>
          <w:rFonts w:hint="eastAsia" w:ascii="仿宋" w:hAnsi="仿宋" w:eastAsia="仿宋" w:cs="仿宋"/>
          <w:sz w:val="28"/>
          <w:szCs w:val="28"/>
          <w:lang w:val="en-US" w:eastAsia="zh-CN"/>
        </w:rPr>
        <w:t>4</w:t>
      </w:r>
      <w:r>
        <w:rPr>
          <w:rFonts w:hint="eastAsia" w:ascii="仿宋" w:hAnsi="仿宋" w:eastAsia="仿宋" w:cs="仿宋"/>
          <w:sz w:val="28"/>
          <w:szCs w:val="28"/>
        </w:rPr>
        <w:t>年在职人员控制率= （在职人员数/编制数）×100%</w:t>
      </w:r>
    </w:p>
    <w:p w14:paraId="40CFFFEC">
      <w:pPr>
        <w:pStyle w:val="19"/>
        <w:spacing w:line="240" w:lineRule="auto"/>
        <w:ind w:left="0"/>
        <w:rPr>
          <w:rFonts w:ascii="仿宋" w:hAnsi="仿宋" w:eastAsia="仿宋" w:cs="仿宋"/>
          <w:sz w:val="28"/>
          <w:szCs w:val="28"/>
        </w:rPr>
      </w:pPr>
      <w:r>
        <w:rPr>
          <w:rFonts w:hint="eastAsia" w:ascii="仿宋" w:hAnsi="仿宋" w:eastAsia="仿宋" w:cs="仿宋"/>
          <w:sz w:val="28"/>
          <w:szCs w:val="28"/>
        </w:rPr>
        <w:t>=41/41*100%=100%</w:t>
      </w:r>
    </w:p>
    <w:p w14:paraId="5ABBE9DC">
      <w:pPr>
        <w:pStyle w:val="19"/>
        <w:spacing w:line="240" w:lineRule="auto"/>
        <w:ind w:left="0"/>
        <w:rPr>
          <w:rFonts w:ascii="仿宋" w:hAnsi="仿宋" w:eastAsia="仿宋" w:cs="仿宋"/>
          <w:sz w:val="28"/>
          <w:szCs w:val="28"/>
        </w:rPr>
      </w:pPr>
      <w:r>
        <w:rPr>
          <w:rFonts w:hint="eastAsia" w:ascii="仿宋" w:hAnsi="仿宋" w:eastAsia="仿宋" w:cs="仿宋"/>
          <w:sz w:val="28"/>
          <w:szCs w:val="28"/>
        </w:rPr>
        <w:t>在职人员控制率达到绩效目标，得2分。</w:t>
      </w:r>
    </w:p>
    <w:p w14:paraId="4F1AE86D">
      <w:pPr>
        <w:pStyle w:val="19"/>
        <w:spacing w:line="240" w:lineRule="auto"/>
        <w:ind w:left="0"/>
        <w:rPr>
          <w:rFonts w:ascii="仿宋" w:hAnsi="仿宋" w:eastAsia="仿宋" w:cs="仿宋"/>
          <w:b/>
          <w:bCs/>
          <w:sz w:val="28"/>
          <w:szCs w:val="28"/>
        </w:rPr>
      </w:pPr>
      <w:r>
        <w:rPr>
          <w:rFonts w:hint="eastAsia" w:ascii="仿宋" w:hAnsi="仿宋" w:eastAsia="仿宋" w:cs="仿宋"/>
          <w:b/>
          <w:bCs/>
          <w:sz w:val="28"/>
          <w:szCs w:val="28"/>
        </w:rPr>
        <w:t xml:space="preserve">  （2）公用经费控制率（2分）</w:t>
      </w:r>
    </w:p>
    <w:p w14:paraId="64B86C89">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bCs/>
          <w:sz w:val="28"/>
          <w:szCs w:val="28"/>
        </w:rPr>
        <w:t>随州市城市防洪排水事业发展中心</w:t>
      </w:r>
      <w:r>
        <w:rPr>
          <w:rFonts w:hint="eastAsia" w:ascii="仿宋" w:hAnsi="仿宋" w:eastAsia="仿宋" w:cs="仿宋"/>
          <w:sz w:val="28"/>
          <w:szCs w:val="28"/>
        </w:rPr>
        <w:t>提供的相关数据，202</w:t>
      </w:r>
      <w:r>
        <w:rPr>
          <w:rFonts w:hint="eastAsia" w:ascii="仿宋" w:hAnsi="仿宋" w:eastAsia="仿宋" w:cs="仿宋"/>
          <w:sz w:val="28"/>
          <w:szCs w:val="28"/>
          <w:lang w:val="en-US" w:eastAsia="zh-CN"/>
        </w:rPr>
        <w:t>4</w:t>
      </w:r>
      <w:r>
        <w:rPr>
          <w:rFonts w:hint="eastAsia" w:ascii="仿宋" w:hAnsi="仿宋" w:eastAsia="仿宋" w:cs="仿宋"/>
          <w:sz w:val="28"/>
          <w:szCs w:val="28"/>
        </w:rPr>
        <w:t>年单位公用经费决算金额</w:t>
      </w:r>
      <w:r>
        <w:rPr>
          <w:rFonts w:hint="eastAsia" w:ascii="仿宋" w:hAnsi="仿宋" w:eastAsia="仿宋" w:cs="仿宋"/>
          <w:sz w:val="28"/>
          <w:szCs w:val="28"/>
          <w:lang w:val="en-US" w:eastAsia="zh-CN"/>
        </w:rPr>
        <w:t>73.46</w:t>
      </w:r>
      <w:r>
        <w:rPr>
          <w:rFonts w:hint="eastAsia" w:ascii="仿宋" w:hAnsi="仿宋" w:eastAsia="仿宋" w:cs="仿宋"/>
          <w:sz w:val="28"/>
          <w:szCs w:val="28"/>
        </w:rPr>
        <w:t>万元，预算金额</w:t>
      </w:r>
      <w:r>
        <w:rPr>
          <w:rFonts w:hint="eastAsia" w:ascii="仿宋" w:hAnsi="仿宋" w:eastAsia="仿宋" w:cs="仿宋"/>
          <w:sz w:val="28"/>
          <w:szCs w:val="28"/>
          <w:lang w:val="en-US" w:eastAsia="zh-CN"/>
        </w:rPr>
        <w:t>44.11</w:t>
      </w:r>
      <w:r>
        <w:rPr>
          <w:rFonts w:hint="eastAsia" w:ascii="仿宋" w:hAnsi="仿宋" w:eastAsia="仿宋" w:cs="仿宋"/>
          <w:sz w:val="28"/>
          <w:szCs w:val="28"/>
        </w:rPr>
        <w:t>万元。</w:t>
      </w:r>
    </w:p>
    <w:p w14:paraId="5765DA04">
      <w:pPr>
        <w:pStyle w:val="19"/>
        <w:spacing w:line="240" w:lineRule="auto"/>
        <w:ind w:left="0"/>
        <w:rPr>
          <w:rFonts w:hint="eastAsia" w:ascii="仿宋" w:hAnsi="仿宋" w:eastAsia="仿宋" w:cs="仿宋"/>
          <w:sz w:val="28"/>
          <w:szCs w:val="28"/>
        </w:rPr>
      </w:pPr>
      <w:r>
        <w:rPr>
          <w:rFonts w:hint="eastAsia" w:ascii="仿宋" w:hAnsi="仿宋" w:eastAsia="仿宋" w:cs="仿宋"/>
          <w:sz w:val="28"/>
          <w:szCs w:val="28"/>
        </w:rPr>
        <w:t>公用经费控制率=（实际支出公用经费总额/预算安排公用经费总额）×100%＝</w:t>
      </w:r>
      <w:r>
        <w:rPr>
          <w:rFonts w:hint="eastAsia" w:ascii="仿宋" w:hAnsi="仿宋" w:eastAsia="仿宋" w:cs="仿宋"/>
          <w:sz w:val="28"/>
          <w:szCs w:val="28"/>
          <w:lang w:val="en-US" w:eastAsia="zh-CN"/>
        </w:rPr>
        <w:t>73.46</w:t>
      </w:r>
      <w:r>
        <w:rPr>
          <w:rFonts w:hint="eastAsia" w:ascii="仿宋" w:hAnsi="仿宋" w:eastAsia="仿宋" w:cs="仿宋"/>
          <w:sz w:val="28"/>
          <w:szCs w:val="28"/>
        </w:rPr>
        <w:t>/</w:t>
      </w:r>
      <w:r>
        <w:rPr>
          <w:rFonts w:hint="eastAsia" w:ascii="仿宋" w:hAnsi="仿宋" w:eastAsia="仿宋" w:cs="仿宋"/>
          <w:sz w:val="28"/>
          <w:szCs w:val="28"/>
          <w:lang w:val="en-US" w:eastAsia="zh-CN"/>
        </w:rPr>
        <w:t>44.11</w:t>
      </w:r>
      <w:r>
        <w:rPr>
          <w:rFonts w:hint="eastAsia" w:ascii="仿宋" w:hAnsi="仿宋" w:eastAsia="仿宋" w:cs="仿宋"/>
          <w:sz w:val="28"/>
          <w:szCs w:val="28"/>
        </w:rPr>
        <w:t xml:space="preserve"> ×100%=</w:t>
      </w:r>
      <w:r>
        <w:rPr>
          <w:rFonts w:hint="eastAsia" w:ascii="仿宋" w:hAnsi="仿宋" w:eastAsia="仿宋" w:cs="仿宋"/>
          <w:sz w:val="28"/>
          <w:szCs w:val="28"/>
          <w:lang w:val="en-US" w:eastAsia="zh-CN"/>
        </w:rPr>
        <w:t>166</w:t>
      </w:r>
      <w:r>
        <w:rPr>
          <w:rFonts w:hint="eastAsia" w:ascii="仿宋" w:hAnsi="仿宋" w:eastAsia="仿宋" w:cs="仿宋"/>
          <w:sz w:val="28"/>
          <w:szCs w:val="28"/>
        </w:rPr>
        <w:t>%</w:t>
      </w:r>
    </w:p>
    <w:p w14:paraId="2DE08E42">
      <w:pPr>
        <w:pStyle w:val="19"/>
        <w:spacing w:line="240" w:lineRule="auto"/>
        <w:ind w:left="0"/>
        <w:rPr>
          <w:rFonts w:ascii="仿宋" w:hAnsi="仿宋" w:eastAsia="仿宋" w:cs="仿宋"/>
          <w:sz w:val="28"/>
          <w:szCs w:val="28"/>
        </w:rPr>
      </w:pPr>
      <w:r>
        <w:rPr>
          <w:rFonts w:hint="eastAsia" w:ascii="仿宋" w:hAnsi="仿宋" w:eastAsia="仿宋" w:cs="仿宋"/>
          <w:sz w:val="28"/>
          <w:szCs w:val="28"/>
        </w:rPr>
        <w:t>本项指标得</w:t>
      </w:r>
      <w:r>
        <w:rPr>
          <w:rFonts w:hint="eastAsia" w:ascii="仿宋" w:hAnsi="仿宋" w:eastAsia="仿宋" w:cs="仿宋"/>
          <w:sz w:val="28"/>
          <w:szCs w:val="28"/>
          <w:lang w:val="en-US" w:eastAsia="zh-CN"/>
        </w:rPr>
        <w:t>1</w:t>
      </w:r>
      <w:r>
        <w:rPr>
          <w:rFonts w:hint="eastAsia" w:ascii="仿宋" w:hAnsi="仿宋" w:eastAsia="仿宋" w:cs="仿宋"/>
          <w:sz w:val="28"/>
          <w:szCs w:val="28"/>
        </w:rPr>
        <w:t>分。</w:t>
      </w:r>
    </w:p>
    <w:p w14:paraId="27E1D31C">
      <w:pPr>
        <w:pStyle w:val="19"/>
        <w:spacing w:line="240" w:lineRule="auto"/>
        <w:ind w:left="0"/>
        <w:rPr>
          <w:rFonts w:ascii="仿宋" w:hAnsi="仿宋" w:eastAsia="仿宋" w:cs="仿宋"/>
          <w:b/>
          <w:bCs/>
          <w:sz w:val="28"/>
          <w:szCs w:val="28"/>
        </w:rPr>
      </w:pPr>
      <w:r>
        <w:rPr>
          <w:rFonts w:hint="eastAsia" w:ascii="仿宋" w:hAnsi="仿宋" w:eastAsia="仿宋" w:cs="仿宋"/>
          <w:b/>
          <w:bCs/>
          <w:sz w:val="28"/>
          <w:szCs w:val="28"/>
        </w:rPr>
        <w:t>（3）项目支出成本控制（4分）</w:t>
      </w:r>
    </w:p>
    <w:p w14:paraId="65B64CEC">
      <w:pPr>
        <w:pStyle w:val="19"/>
        <w:spacing w:line="240" w:lineRule="auto"/>
        <w:ind w:left="0"/>
        <w:rPr>
          <w:rFonts w:ascii="仿宋" w:hAnsi="仿宋" w:eastAsia="仿宋" w:cs="仿宋"/>
          <w:b/>
          <w:bCs/>
          <w:sz w:val="28"/>
          <w:szCs w:val="28"/>
        </w:rPr>
      </w:pPr>
      <w:r>
        <w:rPr>
          <w:rFonts w:hint="eastAsia" w:ascii="仿宋" w:hAnsi="仿宋" w:eastAsia="仿宋" w:cs="仿宋"/>
          <w:b/>
          <w:bCs/>
          <w:sz w:val="28"/>
          <w:szCs w:val="28"/>
        </w:rPr>
        <w:t xml:space="preserve">  </w:t>
      </w:r>
      <w:r>
        <w:rPr>
          <w:rFonts w:hint="eastAsia" w:ascii="宋体" w:hAnsi="宋体" w:eastAsia="宋体" w:cs="宋体"/>
          <w:sz w:val="28"/>
          <w:szCs w:val="28"/>
        </w:rPr>
        <w:t>①、</w:t>
      </w:r>
      <w:r>
        <w:rPr>
          <w:rFonts w:hint="eastAsia" w:ascii="仿宋" w:hAnsi="仿宋" w:eastAsia="仿宋" w:cs="仿宋"/>
          <w:b/>
          <w:bCs/>
          <w:sz w:val="28"/>
          <w:szCs w:val="28"/>
        </w:rPr>
        <w:t>“工资与福利支出”控制率（1分）</w:t>
      </w:r>
    </w:p>
    <w:p w14:paraId="193805A9">
      <w:pPr>
        <w:pStyle w:val="19"/>
        <w:spacing w:line="240" w:lineRule="auto"/>
        <w:ind w:left="0" w:firstLine="560"/>
        <w:rPr>
          <w:rFonts w:hint="eastAsia" w:ascii="仿宋" w:hAnsi="仿宋" w:eastAsia="仿宋" w:cs="仿宋"/>
          <w:sz w:val="28"/>
          <w:szCs w:val="28"/>
        </w:rPr>
      </w:pPr>
      <w:r>
        <w:rPr>
          <w:rFonts w:hint="eastAsia" w:ascii="仿宋" w:hAnsi="仿宋" w:eastAsia="仿宋" w:cs="仿宋"/>
          <w:sz w:val="28"/>
          <w:szCs w:val="28"/>
        </w:rPr>
        <w:t>根据随州市城市防洪排水事业发展中心提供的202</w:t>
      </w:r>
      <w:r>
        <w:rPr>
          <w:rFonts w:hint="eastAsia" w:ascii="仿宋" w:hAnsi="仿宋" w:eastAsia="仿宋" w:cs="仿宋"/>
          <w:sz w:val="28"/>
          <w:szCs w:val="28"/>
          <w:lang w:val="en-US" w:eastAsia="zh-CN"/>
        </w:rPr>
        <w:t>4</w:t>
      </w:r>
      <w:r>
        <w:rPr>
          <w:rFonts w:hint="eastAsia" w:ascii="仿宋" w:hAnsi="仿宋" w:eastAsia="仿宋" w:cs="仿宋"/>
          <w:sz w:val="28"/>
          <w:szCs w:val="28"/>
        </w:rPr>
        <w:t>年度预算和决算的相关数据，202</w:t>
      </w:r>
      <w:r>
        <w:rPr>
          <w:rFonts w:hint="eastAsia" w:ascii="仿宋" w:hAnsi="仿宋" w:eastAsia="仿宋" w:cs="仿宋"/>
          <w:sz w:val="28"/>
          <w:szCs w:val="28"/>
          <w:lang w:val="en-US" w:eastAsia="zh-CN"/>
        </w:rPr>
        <w:t>4</w:t>
      </w:r>
      <w:r>
        <w:rPr>
          <w:rFonts w:hint="eastAsia" w:ascii="仿宋" w:hAnsi="仿宋" w:eastAsia="仿宋" w:cs="仿宋"/>
          <w:sz w:val="28"/>
          <w:szCs w:val="28"/>
        </w:rPr>
        <w:t>年“工资与福利支出”预算数为</w:t>
      </w:r>
      <w:r>
        <w:rPr>
          <w:rFonts w:hint="eastAsia" w:ascii="仿宋" w:hAnsi="仿宋" w:eastAsia="仿宋" w:cs="仿宋"/>
          <w:sz w:val="28"/>
          <w:szCs w:val="28"/>
          <w:lang w:val="en-US" w:eastAsia="zh-CN"/>
        </w:rPr>
        <w:t>870.65</w:t>
      </w:r>
      <w:r>
        <w:rPr>
          <w:rFonts w:hint="eastAsia" w:ascii="仿宋" w:hAnsi="仿宋" w:eastAsia="仿宋" w:cs="仿宋"/>
          <w:sz w:val="28"/>
          <w:szCs w:val="28"/>
        </w:rPr>
        <w:t>万元，实际支出</w:t>
      </w:r>
      <w:r>
        <w:rPr>
          <w:rFonts w:hint="eastAsia" w:ascii="仿宋" w:hAnsi="仿宋" w:eastAsia="仿宋" w:cs="仿宋"/>
          <w:sz w:val="28"/>
          <w:szCs w:val="28"/>
          <w:lang w:val="en-US" w:eastAsia="zh-CN"/>
        </w:rPr>
        <w:t>838.18</w:t>
      </w:r>
      <w:r>
        <w:rPr>
          <w:rFonts w:hint="eastAsia" w:ascii="仿宋" w:hAnsi="仿宋" w:eastAsia="仿宋" w:cs="仿宋"/>
          <w:sz w:val="28"/>
          <w:szCs w:val="28"/>
        </w:rPr>
        <w:t>万元；</w:t>
      </w:r>
    </w:p>
    <w:p w14:paraId="29EAF4CD">
      <w:pPr>
        <w:pStyle w:val="19"/>
        <w:spacing w:line="240" w:lineRule="auto"/>
        <w:ind w:left="0" w:firstLine="560"/>
        <w:rPr>
          <w:rFonts w:hint="eastAsia" w:ascii="仿宋" w:hAnsi="仿宋" w:eastAsia="仿宋" w:cs="仿宋"/>
          <w:sz w:val="28"/>
          <w:szCs w:val="28"/>
        </w:rPr>
      </w:pPr>
      <w:r>
        <w:rPr>
          <w:rFonts w:hint="eastAsia" w:ascii="仿宋" w:hAnsi="仿宋" w:eastAsia="仿宋" w:cs="仿宋"/>
          <w:sz w:val="28"/>
          <w:szCs w:val="28"/>
        </w:rPr>
        <w:t>“工资与福利支出”控制率 = （本年度“工资与福利支出”决算数/“工资与福利支出”预算数）*100%。=（</w:t>
      </w:r>
      <w:r>
        <w:rPr>
          <w:rFonts w:hint="eastAsia" w:ascii="仿宋" w:hAnsi="仿宋" w:eastAsia="仿宋" w:cs="仿宋"/>
          <w:sz w:val="28"/>
          <w:szCs w:val="28"/>
          <w:lang w:val="en-US" w:eastAsia="zh-CN"/>
        </w:rPr>
        <w:t>870.65</w:t>
      </w:r>
      <w:r>
        <w:rPr>
          <w:rFonts w:hint="eastAsia" w:ascii="仿宋" w:hAnsi="仿宋" w:eastAsia="仿宋" w:cs="仿宋"/>
          <w:sz w:val="28"/>
          <w:szCs w:val="28"/>
        </w:rPr>
        <w:t>/</w:t>
      </w:r>
      <w:r>
        <w:rPr>
          <w:rFonts w:hint="eastAsia" w:ascii="仿宋" w:hAnsi="仿宋" w:eastAsia="仿宋" w:cs="仿宋"/>
          <w:sz w:val="28"/>
          <w:szCs w:val="28"/>
          <w:lang w:val="en-US" w:eastAsia="zh-CN"/>
        </w:rPr>
        <w:t>838.18</w:t>
      </w:r>
      <w:r>
        <w:rPr>
          <w:rFonts w:hint="eastAsia" w:ascii="仿宋" w:hAnsi="仿宋" w:eastAsia="仿宋" w:cs="仿宋"/>
          <w:sz w:val="28"/>
          <w:szCs w:val="28"/>
        </w:rPr>
        <w:t>）*100%=10</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34E95DA3">
      <w:pPr>
        <w:pStyle w:val="19"/>
        <w:spacing w:line="240" w:lineRule="auto"/>
        <w:ind w:left="0"/>
        <w:rPr>
          <w:rFonts w:ascii="仿宋" w:hAnsi="仿宋" w:eastAsia="仿宋" w:cs="仿宋"/>
          <w:sz w:val="28"/>
          <w:szCs w:val="28"/>
        </w:rPr>
      </w:pPr>
      <w:r>
        <w:rPr>
          <w:rFonts w:hint="eastAsia" w:ascii="仿宋" w:hAnsi="仿宋" w:eastAsia="仿宋" w:cs="仿宋"/>
          <w:sz w:val="28"/>
          <w:szCs w:val="28"/>
        </w:rPr>
        <w:t>预算有效控制，本项指标得满分1分。</w:t>
      </w:r>
    </w:p>
    <w:p w14:paraId="2D8765E5">
      <w:pPr>
        <w:pStyle w:val="19"/>
        <w:spacing w:line="240" w:lineRule="auto"/>
        <w:ind w:left="0" w:firstLine="280"/>
        <w:rPr>
          <w:rFonts w:ascii="仿宋" w:hAnsi="仿宋" w:eastAsia="仿宋" w:cs="仿宋"/>
          <w:sz w:val="28"/>
          <w:szCs w:val="28"/>
        </w:rPr>
      </w:pPr>
      <w:r>
        <w:rPr>
          <w:rFonts w:hint="eastAsia" w:ascii="宋体" w:hAnsi="宋体" w:eastAsia="宋体" w:cs="宋体"/>
          <w:sz w:val="28"/>
          <w:szCs w:val="28"/>
        </w:rPr>
        <w:t>②</w:t>
      </w:r>
      <w:r>
        <w:rPr>
          <w:rFonts w:hint="eastAsia" w:ascii="仿宋" w:hAnsi="仿宋" w:eastAsia="仿宋" w:cs="仿宋"/>
          <w:sz w:val="28"/>
          <w:szCs w:val="28"/>
        </w:rPr>
        <w:t>、</w:t>
      </w:r>
      <w:r>
        <w:rPr>
          <w:rFonts w:hint="eastAsia" w:ascii="仿宋" w:hAnsi="仿宋" w:eastAsia="仿宋" w:cs="仿宋"/>
          <w:b/>
          <w:bCs/>
          <w:sz w:val="28"/>
          <w:szCs w:val="28"/>
          <w:lang w:eastAsia="zh-CN"/>
        </w:rPr>
        <w:t>“三公”经费</w:t>
      </w:r>
      <w:r>
        <w:rPr>
          <w:rFonts w:hint="eastAsia" w:ascii="仿宋" w:hAnsi="仿宋" w:eastAsia="仿宋" w:cs="仿宋"/>
          <w:b/>
          <w:bCs/>
          <w:sz w:val="28"/>
          <w:szCs w:val="28"/>
        </w:rPr>
        <w:t>变动率</w:t>
      </w:r>
      <w:r>
        <w:rPr>
          <w:rFonts w:hint="eastAsia" w:ascii="仿宋" w:hAnsi="仿宋" w:eastAsia="仿宋" w:cs="仿宋"/>
          <w:sz w:val="28"/>
          <w:szCs w:val="28"/>
        </w:rPr>
        <w:t>（1分）</w:t>
      </w:r>
    </w:p>
    <w:p w14:paraId="27A3DF00">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bCs/>
          <w:sz w:val="28"/>
          <w:szCs w:val="28"/>
        </w:rPr>
        <w:t>随州市城市防洪排水事业发展中心</w:t>
      </w:r>
      <w:r>
        <w:rPr>
          <w:rFonts w:hint="eastAsia" w:ascii="仿宋" w:hAnsi="仿宋" w:eastAsia="仿宋" w:cs="仿宋"/>
          <w:sz w:val="28"/>
          <w:szCs w:val="28"/>
        </w:rPr>
        <w:t>提供的相关数据，202</w:t>
      </w:r>
      <w:r>
        <w:rPr>
          <w:rFonts w:hint="eastAsia" w:ascii="仿宋" w:hAnsi="仿宋" w:eastAsia="仿宋" w:cs="仿宋"/>
          <w:sz w:val="28"/>
          <w:szCs w:val="28"/>
          <w:lang w:val="en-US" w:eastAsia="zh-CN"/>
        </w:rPr>
        <w:t>4</w:t>
      </w:r>
      <w:r>
        <w:rPr>
          <w:rFonts w:hint="eastAsia" w:ascii="仿宋" w:hAnsi="仿宋" w:eastAsia="仿宋" w:cs="仿宋"/>
          <w:sz w:val="28"/>
          <w:szCs w:val="28"/>
        </w:rPr>
        <w:t>年市执法支队</w:t>
      </w:r>
      <w:r>
        <w:rPr>
          <w:rFonts w:hint="eastAsia" w:ascii="仿宋" w:hAnsi="仿宋" w:eastAsia="仿宋" w:cs="仿宋"/>
          <w:sz w:val="28"/>
          <w:szCs w:val="28"/>
          <w:lang w:eastAsia="zh-CN"/>
        </w:rPr>
        <w:t>“三公”经费</w:t>
      </w:r>
      <w:r>
        <w:rPr>
          <w:rFonts w:hint="eastAsia" w:ascii="仿宋" w:hAnsi="仿宋" w:eastAsia="仿宋" w:cs="仿宋"/>
          <w:sz w:val="28"/>
          <w:szCs w:val="28"/>
        </w:rPr>
        <w:t>决算金额3.9</w:t>
      </w:r>
      <w:r>
        <w:rPr>
          <w:rFonts w:hint="eastAsia" w:ascii="仿宋" w:hAnsi="仿宋" w:eastAsia="仿宋" w:cs="仿宋"/>
          <w:sz w:val="28"/>
          <w:szCs w:val="28"/>
          <w:lang w:val="en-US" w:eastAsia="zh-CN"/>
        </w:rPr>
        <w:t>0</w:t>
      </w:r>
      <w:r>
        <w:rPr>
          <w:rFonts w:hint="eastAsia" w:ascii="仿宋" w:hAnsi="仿宋" w:eastAsia="仿宋" w:cs="仿宋"/>
          <w:sz w:val="28"/>
          <w:szCs w:val="28"/>
        </w:rPr>
        <w:t xml:space="preserve"> 万元，202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eastAsia="zh-CN"/>
        </w:rPr>
        <w:t>“三公”经费</w:t>
      </w:r>
      <w:r>
        <w:rPr>
          <w:rFonts w:hint="eastAsia" w:ascii="仿宋" w:hAnsi="仿宋" w:eastAsia="仿宋" w:cs="仿宋"/>
          <w:sz w:val="28"/>
          <w:szCs w:val="28"/>
        </w:rPr>
        <w:t>决算金额</w:t>
      </w:r>
      <w:r>
        <w:rPr>
          <w:rFonts w:hint="eastAsia" w:ascii="仿宋" w:hAnsi="仿宋" w:eastAsia="仿宋" w:cs="仿宋"/>
          <w:sz w:val="28"/>
          <w:szCs w:val="28"/>
          <w:lang w:val="en-US" w:eastAsia="zh-CN"/>
        </w:rPr>
        <w:t>3.99</w:t>
      </w:r>
      <w:r>
        <w:rPr>
          <w:rFonts w:hint="eastAsia" w:ascii="仿宋" w:hAnsi="仿宋" w:eastAsia="仿宋" w:cs="仿宋"/>
          <w:sz w:val="28"/>
          <w:szCs w:val="28"/>
        </w:rPr>
        <w:t>万元。</w:t>
      </w:r>
    </w:p>
    <w:p w14:paraId="74DD86BB">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lang w:eastAsia="zh-CN"/>
        </w:rPr>
        <w:t>“三公”经费</w:t>
      </w:r>
      <w:r>
        <w:rPr>
          <w:rFonts w:hint="eastAsia" w:ascii="仿宋" w:hAnsi="仿宋" w:eastAsia="仿宋" w:cs="仿宋"/>
          <w:sz w:val="28"/>
          <w:szCs w:val="28"/>
        </w:rPr>
        <w:t>变动率=【（3.9</w:t>
      </w:r>
      <w:r>
        <w:rPr>
          <w:rFonts w:hint="eastAsia" w:ascii="仿宋" w:hAnsi="仿宋" w:eastAsia="仿宋" w:cs="仿宋"/>
          <w:sz w:val="28"/>
          <w:szCs w:val="28"/>
          <w:lang w:val="en-US" w:eastAsia="zh-CN"/>
        </w:rPr>
        <w:t>0</w:t>
      </w:r>
      <w:r>
        <w:rPr>
          <w:rFonts w:hint="eastAsia" w:ascii="仿宋" w:hAnsi="仿宋" w:eastAsia="仿宋" w:cs="仿宋"/>
          <w:sz w:val="28"/>
          <w:szCs w:val="28"/>
        </w:rPr>
        <w:t>-</w:t>
      </w:r>
      <w:r>
        <w:rPr>
          <w:rFonts w:hint="eastAsia" w:ascii="仿宋" w:hAnsi="仿宋" w:eastAsia="仿宋" w:cs="仿宋"/>
          <w:sz w:val="28"/>
          <w:szCs w:val="28"/>
          <w:lang w:val="en-US" w:eastAsia="zh-CN"/>
        </w:rPr>
        <w:t>3.99</w:t>
      </w:r>
      <w:r>
        <w:rPr>
          <w:rFonts w:hint="eastAsia" w:ascii="仿宋" w:hAnsi="仿宋" w:eastAsia="仿宋" w:cs="仿宋"/>
          <w:sz w:val="28"/>
          <w:szCs w:val="28"/>
        </w:rPr>
        <w:t>）/</w:t>
      </w:r>
      <w:r>
        <w:rPr>
          <w:rFonts w:hint="eastAsia" w:ascii="仿宋" w:hAnsi="仿宋" w:eastAsia="仿宋" w:cs="仿宋"/>
          <w:sz w:val="28"/>
          <w:szCs w:val="28"/>
          <w:lang w:val="en-US" w:eastAsia="zh-CN"/>
        </w:rPr>
        <w:t>3.99</w:t>
      </w:r>
      <w:r>
        <w:rPr>
          <w:rFonts w:hint="eastAsia" w:ascii="仿宋" w:hAnsi="仿宋" w:eastAsia="仿宋" w:cs="仿宋"/>
          <w:sz w:val="28"/>
          <w:szCs w:val="28"/>
        </w:rPr>
        <w:t>】*100%=-2</w:t>
      </w:r>
      <w:r>
        <w:rPr>
          <w:rFonts w:hint="eastAsia" w:ascii="仿宋" w:hAnsi="仿宋" w:eastAsia="仿宋" w:cs="仿宋"/>
          <w:sz w:val="28"/>
          <w:szCs w:val="28"/>
          <w:lang w:val="en-US" w:eastAsia="zh-CN"/>
        </w:rPr>
        <w:t>.26</w:t>
      </w:r>
      <w:r>
        <w:rPr>
          <w:rFonts w:hint="eastAsia" w:ascii="仿宋" w:hAnsi="仿宋" w:eastAsia="仿宋" w:cs="仿宋"/>
          <w:sz w:val="28"/>
          <w:szCs w:val="28"/>
        </w:rPr>
        <w:t>%</w:t>
      </w:r>
    </w:p>
    <w:p w14:paraId="2CC0927A">
      <w:pPr>
        <w:pStyle w:val="19"/>
        <w:spacing w:line="240" w:lineRule="auto"/>
        <w:ind w:left="0"/>
        <w:rPr>
          <w:rFonts w:ascii="仿宋" w:hAnsi="仿宋" w:eastAsia="仿宋" w:cs="仿宋"/>
          <w:sz w:val="28"/>
          <w:szCs w:val="28"/>
        </w:rPr>
      </w:pPr>
      <w:r>
        <w:rPr>
          <w:rFonts w:hint="eastAsia" w:ascii="仿宋" w:hAnsi="仿宋" w:eastAsia="仿宋" w:cs="仿宋"/>
          <w:sz w:val="28"/>
          <w:szCs w:val="28"/>
        </w:rPr>
        <w:t>市排水中心</w:t>
      </w:r>
      <w:r>
        <w:rPr>
          <w:rFonts w:hint="eastAsia" w:ascii="仿宋" w:hAnsi="仿宋" w:eastAsia="仿宋" w:cs="仿宋"/>
          <w:sz w:val="28"/>
          <w:szCs w:val="28"/>
          <w:lang w:eastAsia="zh-CN"/>
        </w:rPr>
        <w:t>“三公”经费</w:t>
      </w:r>
      <w:r>
        <w:rPr>
          <w:rFonts w:hint="eastAsia" w:ascii="仿宋" w:hAnsi="仿宋" w:eastAsia="仿宋" w:cs="仿宋"/>
          <w:sz w:val="28"/>
          <w:szCs w:val="28"/>
        </w:rPr>
        <w:t>变动率达到绩效目标，得1分。</w:t>
      </w:r>
    </w:p>
    <w:p w14:paraId="03BD903A">
      <w:pPr>
        <w:pStyle w:val="19"/>
        <w:spacing w:line="240" w:lineRule="auto"/>
        <w:ind w:left="0" w:firstLine="560"/>
        <w:rPr>
          <w:rFonts w:ascii="仿宋" w:hAnsi="仿宋" w:eastAsia="仿宋" w:cs="仿宋"/>
          <w:sz w:val="28"/>
          <w:szCs w:val="28"/>
        </w:rPr>
      </w:pPr>
      <w:r>
        <w:rPr>
          <w:rFonts w:hint="eastAsia" w:ascii="宋体" w:hAnsi="宋体" w:eastAsia="宋体" w:cs="宋体"/>
          <w:sz w:val="28"/>
          <w:szCs w:val="28"/>
        </w:rPr>
        <w:t>③</w:t>
      </w:r>
      <w:r>
        <w:rPr>
          <w:rFonts w:hint="eastAsia" w:ascii="仿宋" w:hAnsi="仿宋" w:eastAsia="仿宋" w:cs="仿宋"/>
          <w:sz w:val="28"/>
          <w:szCs w:val="28"/>
        </w:rPr>
        <w:t>、</w:t>
      </w:r>
      <w:r>
        <w:rPr>
          <w:rFonts w:hint="eastAsia" w:ascii="仿宋" w:hAnsi="仿宋" w:eastAsia="仿宋" w:cs="仿宋"/>
          <w:b/>
          <w:bCs/>
          <w:sz w:val="28"/>
          <w:szCs w:val="28"/>
        </w:rPr>
        <w:t>“医疗费补助”变动率</w:t>
      </w:r>
      <w:r>
        <w:rPr>
          <w:rFonts w:hint="eastAsia" w:ascii="仿宋" w:hAnsi="仿宋" w:eastAsia="仿宋" w:cs="仿宋"/>
          <w:sz w:val="28"/>
          <w:szCs w:val="28"/>
        </w:rPr>
        <w:t>（1分）</w:t>
      </w:r>
    </w:p>
    <w:p w14:paraId="78CB2B43">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bCs/>
          <w:sz w:val="28"/>
          <w:szCs w:val="28"/>
        </w:rPr>
        <w:t>随州市城市防洪排水事业发展中心</w:t>
      </w:r>
      <w:r>
        <w:rPr>
          <w:rFonts w:hint="eastAsia" w:ascii="仿宋" w:hAnsi="仿宋" w:eastAsia="仿宋" w:cs="仿宋"/>
          <w:sz w:val="28"/>
          <w:szCs w:val="28"/>
        </w:rPr>
        <w:t>提供的相关数据，202</w:t>
      </w:r>
      <w:r>
        <w:rPr>
          <w:rFonts w:hint="eastAsia" w:ascii="仿宋" w:hAnsi="仿宋" w:eastAsia="仿宋" w:cs="仿宋"/>
          <w:sz w:val="28"/>
          <w:szCs w:val="28"/>
          <w:lang w:val="en-US" w:eastAsia="zh-CN"/>
        </w:rPr>
        <w:t>4</w:t>
      </w:r>
      <w:r>
        <w:rPr>
          <w:rFonts w:hint="eastAsia" w:ascii="仿宋" w:hAnsi="仿宋" w:eastAsia="仿宋" w:cs="仿宋"/>
          <w:sz w:val="28"/>
          <w:szCs w:val="28"/>
        </w:rPr>
        <w:t>年政府“社会福利与救助”实际支出</w:t>
      </w:r>
      <w:r>
        <w:rPr>
          <w:rFonts w:hint="eastAsia" w:ascii="仿宋" w:hAnsi="仿宋" w:eastAsia="仿宋" w:cs="仿宋"/>
          <w:sz w:val="28"/>
          <w:szCs w:val="28"/>
          <w:lang w:val="en-US" w:eastAsia="zh-CN"/>
        </w:rPr>
        <w:t>25.52</w:t>
      </w:r>
      <w:r>
        <w:rPr>
          <w:rFonts w:hint="eastAsia" w:ascii="仿宋" w:hAnsi="仿宋" w:eastAsia="仿宋" w:cs="仿宋"/>
          <w:sz w:val="28"/>
          <w:szCs w:val="28"/>
        </w:rPr>
        <w:t>万元，202</w:t>
      </w:r>
      <w:r>
        <w:rPr>
          <w:rFonts w:hint="eastAsia" w:ascii="仿宋" w:hAnsi="仿宋" w:eastAsia="仿宋" w:cs="仿宋"/>
          <w:sz w:val="28"/>
          <w:szCs w:val="28"/>
          <w:lang w:val="en-US" w:eastAsia="zh-CN"/>
        </w:rPr>
        <w:t>3</w:t>
      </w:r>
      <w:r>
        <w:rPr>
          <w:rFonts w:hint="eastAsia" w:ascii="仿宋" w:hAnsi="仿宋" w:eastAsia="仿宋" w:cs="仿宋"/>
          <w:sz w:val="28"/>
          <w:szCs w:val="28"/>
        </w:rPr>
        <w:t>年政府“社会福利与救助”实际支出</w:t>
      </w:r>
      <w:r>
        <w:rPr>
          <w:rFonts w:hint="eastAsia" w:ascii="仿宋" w:hAnsi="仿宋" w:eastAsia="仿宋" w:cs="仿宋"/>
          <w:sz w:val="28"/>
          <w:szCs w:val="28"/>
          <w:lang w:val="en-US" w:eastAsia="zh-CN"/>
        </w:rPr>
        <w:t>14.12</w:t>
      </w:r>
      <w:r>
        <w:rPr>
          <w:rFonts w:hint="eastAsia" w:ascii="仿宋" w:hAnsi="仿宋" w:eastAsia="仿宋" w:cs="仿宋"/>
          <w:sz w:val="28"/>
          <w:szCs w:val="28"/>
        </w:rPr>
        <w:t>万元</w:t>
      </w:r>
    </w:p>
    <w:p w14:paraId="21571BF3">
      <w:pPr>
        <w:pStyle w:val="19"/>
        <w:spacing w:line="240" w:lineRule="auto"/>
        <w:ind w:left="0"/>
        <w:rPr>
          <w:rFonts w:ascii="仿宋" w:hAnsi="仿宋" w:eastAsia="仿宋" w:cs="仿宋"/>
          <w:sz w:val="28"/>
          <w:szCs w:val="28"/>
        </w:rPr>
      </w:pPr>
      <w:r>
        <w:rPr>
          <w:rFonts w:hint="eastAsia" w:ascii="仿宋" w:hAnsi="仿宋" w:eastAsia="仿宋" w:cs="仿宋"/>
          <w:bCs/>
          <w:sz w:val="28"/>
          <w:szCs w:val="28"/>
        </w:rPr>
        <w:t>“医疗费补助”变动率</w:t>
      </w:r>
      <w:r>
        <w:rPr>
          <w:rFonts w:hint="eastAsia" w:ascii="仿宋" w:hAnsi="仿宋" w:eastAsia="仿宋" w:cs="仿宋"/>
          <w:sz w:val="28"/>
          <w:szCs w:val="28"/>
        </w:rPr>
        <w:t>=【（</w:t>
      </w:r>
      <w:r>
        <w:rPr>
          <w:rFonts w:hint="eastAsia" w:ascii="仿宋" w:hAnsi="仿宋" w:eastAsia="仿宋" w:cs="仿宋"/>
          <w:sz w:val="28"/>
          <w:szCs w:val="28"/>
          <w:lang w:val="en-US" w:eastAsia="zh-CN"/>
        </w:rPr>
        <w:t>25.52</w:t>
      </w:r>
      <w:r>
        <w:rPr>
          <w:rFonts w:hint="eastAsia" w:ascii="仿宋" w:hAnsi="仿宋" w:eastAsia="仿宋" w:cs="仿宋"/>
          <w:sz w:val="28"/>
          <w:szCs w:val="28"/>
        </w:rPr>
        <w:t>-</w:t>
      </w:r>
      <w:r>
        <w:rPr>
          <w:rFonts w:hint="eastAsia" w:ascii="仿宋" w:hAnsi="仿宋" w:eastAsia="仿宋" w:cs="仿宋"/>
          <w:sz w:val="28"/>
          <w:szCs w:val="28"/>
          <w:lang w:val="en-US" w:eastAsia="zh-CN"/>
        </w:rPr>
        <w:t>14.12</w:t>
      </w:r>
      <w:r>
        <w:rPr>
          <w:rFonts w:hint="eastAsia" w:ascii="仿宋" w:hAnsi="仿宋" w:eastAsia="仿宋" w:cs="仿宋"/>
          <w:sz w:val="28"/>
          <w:szCs w:val="28"/>
        </w:rPr>
        <w:t>）/</w:t>
      </w:r>
      <w:r>
        <w:rPr>
          <w:rFonts w:hint="eastAsia" w:ascii="仿宋" w:hAnsi="仿宋" w:eastAsia="仿宋" w:cs="仿宋"/>
          <w:sz w:val="28"/>
          <w:szCs w:val="28"/>
          <w:lang w:val="en-US" w:eastAsia="zh-CN"/>
        </w:rPr>
        <w:t>14.12</w:t>
      </w:r>
      <w:r>
        <w:rPr>
          <w:rFonts w:hint="eastAsia" w:ascii="仿宋" w:hAnsi="仿宋" w:eastAsia="仿宋" w:cs="仿宋"/>
          <w:sz w:val="28"/>
          <w:szCs w:val="28"/>
        </w:rPr>
        <w:t>】*100%=</w:t>
      </w:r>
      <w:r>
        <w:rPr>
          <w:rFonts w:hint="eastAsia" w:ascii="仿宋" w:hAnsi="仿宋" w:eastAsia="仿宋" w:cs="仿宋"/>
          <w:sz w:val="28"/>
          <w:szCs w:val="28"/>
          <w:lang w:val="en-US" w:eastAsia="zh-CN"/>
        </w:rPr>
        <w:t>80.74</w:t>
      </w:r>
      <w:r>
        <w:rPr>
          <w:rFonts w:hint="eastAsia" w:ascii="仿宋" w:hAnsi="仿宋" w:eastAsia="仿宋" w:cs="仿宋"/>
          <w:sz w:val="28"/>
          <w:szCs w:val="28"/>
        </w:rPr>
        <w:t>%</w:t>
      </w:r>
    </w:p>
    <w:p w14:paraId="697A888D">
      <w:pPr>
        <w:pStyle w:val="19"/>
        <w:spacing w:line="240" w:lineRule="auto"/>
        <w:ind w:left="0"/>
        <w:rPr>
          <w:rFonts w:ascii="仿宋" w:hAnsi="仿宋" w:eastAsia="仿宋" w:cs="仿宋"/>
          <w:bCs/>
          <w:sz w:val="28"/>
          <w:szCs w:val="28"/>
        </w:rPr>
      </w:pPr>
      <w:r>
        <w:rPr>
          <w:rFonts w:hint="eastAsia" w:ascii="仿宋" w:hAnsi="仿宋" w:eastAsia="仿宋" w:cs="仿宋"/>
          <w:bCs/>
          <w:sz w:val="28"/>
          <w:szCs w:val="28"/>
        </w:rPr>
        <w:t>本项指标</w:t>
      </w:r>
      <w:r>
        <w:rPr>
          <w:rFonts w:hint="eastAsia" w:ascii="仿宋" w:hAnsi="仿宋" w:eastAsia="仿宋" w:cs="仿宋"/>
          <w:bCs/>
          <w:sz w:val="28"/>
          <w:szCs w:val="28"/>
          <w:lang w:val="en-US" w:eastAsia="zh-CN"/>
        </w:rPr>
        <w:t>0</w:t>
      </w:r>
      <w:r>
        <w:rPr>
          <w:rFonts w:hint="eastAsia" w:ascii="仿宋" w:hAnsi="仿宋" w:eastAsia="仿宋" w:cs="仿宋"/>
          <w:bCs/>
          <w:sz w:val="28"/>
          <w:szCs w:val="28"/>
        </w:rPr>
        <w:t>分。</w:t>
      </w:r>
    </w:p>
    <w:p w14:paraId="1364714D">
      <w:pPr>
        <w:pStyle w:val="19"/>
        <w:spacing w:line="240" w:lineRule="auto"/>
        <w:ind w:left="0"/>
        <w:rPr>
          <w:rFonts w:ascii="仿宋" w:hAnsi="仿宋" w:eastAsia="仿宋" w:cs="仿宋"/>
          <w:bCs/>
          <w:sz w:val="28"/>
          <w:szCs w:val="28"/>
        </w:rPr>
      </w:pPr>
      <w:r>
        <w:rPr>
          <w:rFonts w:hint="eastAsia" w:ascii="仿宋" w:hAnsi="仿宋" w:eastAsia="仿宋" w:cs="仿宋"/>
          <w:bCs/>
          <w:sz w:val="28"/>
          <w:szCs w:val="28"/>
        </w:rPr>
        <w:t xml:space="preserve">    ④、“对个人和家庭的补助” 变动率（1分）</w:t>
      </w:r>
    </w:p>
    <w:p w14:paraId="54905BA0">
      <w:pPr>
        <w:pStyle w:val="19"/>
        <w:spacing w:line="240" w:lineRule="auto"/>
        <w:ind w:left="0" w:firstLine="420"/>
        <w:rPr>
          <w:rFonts w:ascii="仿宋" w:hAnsi="仿宋" w:eastAsia="仿宋" w:cs="仿宋"/>
          <w:bCs/>
          <w:sz w:val="28"/>
          <w:szCs w:val="28"/>
        </w:rPr>
      </w:pPr>
      <w:r>
        <w:rPr>
          <w:rFonts w:hint="eastAsia" w:ascii="仿宋" w:hAnsi="仿宋" w:eastAsia="仿宋" w:cs="仿宋"/>
          <w:sz w:val="28"/>
          <w:szCs w:val="28"/>
        </w:rPr>
        <w:t>根据</w:t>
      </w:r>
      <w:r>
        <w:rPr>
          <w:rFonts w:hint="eastAsia" w:ascii="仿宋" w:hAnsi="仿宋" w:eastAsia="仿宋" w:cs="仿宋"/>
          <w:bCs/>
          <w:sz w:val="28"/>
          <w:szCs w:val="28"/>
        </w:rPr>
        <w:t>随州市城市防洪排水事业发展中心提供的相关数据，202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年政府“对个和家庭的补助”实际支出</w:t>
      </w:r>
      <w:r>
        <w:rPr>
          <w:rFonts w:hint="eastAsia" w:ascii="仿宋" w:hAnsi="仿宋" w:eastAsia="仿宋" w:cs="仿宋"/>
          <w:bCs/>
          <w:sz w:val="28"/>
          <w:szCs w:val="28"/>
          <w:lang w:val="en-US" w:eastAsia="zh-CN"/>
        </w:rPr>
        <w:t>113.32</w:t>
      </w:r>
      <w:r>
        <w:rPr>
          <w:rFonts w:hint="eastAsia" w:ascii="仿宋" w:hAnsi="仿宋" w:eastAsia="仿宋" w:cs="仿宋"/>
          <w:bCs/>
          <w:sz w:val="28"/>
          <w:szCs w:val="28"/>
        </w:rPr>
        <w:t>万元，202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年政府“对个和家庭的补助”实际支出14.18万元</w:t>
      </w:r>
    </w:p>
    <w:p w14:paraId="4C26D31C">
      <w:pPr>
        <w:pStyle w:val="19"/>
        <w:spacing w:line="240" w:lineRule="auto"/>
        <w:ind w:left="0"/>
        <w:rPr>
          <w:rFonts w:hint="eastAsia" w:ascii="仿宋" w:hAnsi="仿宋" w:eastAsia="仿宋" w:cs="仿宋"/>
          <w:bCs/>
          <w:sz w:val="28"/>
          <w:szCs w:val="28"/>
        </w:rPr>
      </w:pPr>
      <w:r>
        <w:rPr>
          <w:rFonts w:hint="eastAsia" w:ascii="仿宋" w:hAnsi="仿宋" w:eastAsia="仿宋" w:cs="仿宋"/>
          <w:bCs/>
          <w:sz w:val="28"/>
          <w:szCs w:val="28"/>
        </w:rPr>
        <w:t>“对个人和家庭的补助” 变动率=【（</w:t>
      </w:r>
      <w:r>
        <w:rPr>
          <w:rFonts w:hint="eastAsia" w:ascii="仿宋" w:hAnsi="仿宋" w:eastAsia="仿宋" w:cs="仿宋"/>
          <w:bCs/>
          <w:sz w:val="28"/>
          <w:szCs w:val="28"/>
          <w:lang w:val="en-US" w:eastAsia="zh-CN"/>
        </w:rPr>
        <w:t>113.32</w:t>
      </w:r>
      <w:r>
        <w:rPr>
          <w:rFonts w:hint="eastAsia" w:ascii="仿宋" w:hAnsi="仿宋" w:eastAsia="仿宋" w:cs="仿宋"/>
          <w:bCs/>
          <w:sz w:val="28"/>
          <w:szCs w:val="28"/>
        </w:rPr>
        <w:t>-14.18）/14.18】*100%</w:t>
      </w:r>
    </w:p>
    <w:p w14:paraId="5E3DD83B">
      <w:pPr>
        <w:pStyle w:val="19"/>
        <w:spacing w:line="240" w:lineRule="auto"/>
        <w:ind w:left="0"/>
        <w:rPr>
          <w:rFonts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699.15</w:t>
      </w:r>
      <w:r>
        <w:rPr>
          <w:rFonts w:hint="eastAsia" w:ascii="仿宋" w:hAnsi="仿宋" w:eastAsia="仿宋" w:cs="仿宋"/>
          <w:bCs/>
          <w:sz w:val="28"/>
          <w:szCs w:val="28"/>
        </w:rPr>
        <w:t>%</w:t>
      </w:r>
    </w:p>
    <w:p w14:paraId="6E268D7F">
      <w:pPr>
        <w:pStyle w:val="19"/>
        <w:spacing w:line="240" w:lineRule="auto"/>
        <w:ind w:left="0"/>
        <w:rPr>
          <w:rFonts w:ascii="仿宋" w:hAnsi="仿宋" w:eastAsia="仿宋" w:cs="仿宋"/>
          <w:bCs/>
          <w:sz w:val="28"/>
          <w:szCs w:val="28"/>
        </w:rPr>
      </w:pPr>
      <w:r>
        <w:rPr>
          <w:rFonts w:hint="eastAsia" w:ascii="仿宋" w:hAnsi="仿宋" w:eastAsia="仿宋" w:cs="仿宋"/>
          <w:bCs/>
          <w:sz w:val="28"/>
          <w:szCs w:val="28"/>
        </w:rPr>
        <w:t>本项指标不得分。</w:t>
      </w:r>
    </w:p>
    <w:p w14:paraId="13BF3A51">
      <w:pPr>
        <w:pStyle w:val="19"/>
        <w:spacing w:line="240" w:lineRule="auto"/>
        <w:ind w:left="0"/>
        <w:rPr>
          <w:rFonts w:ascii="仿宋" w:hAnsi="仿宋" w:eastAsia="仿宋" w:cs="仿宋"/>
          <w:bCs/>
          <w:sz w:val="28"/>
          <w:szCs w:val="28"/>
        </w:rPr>
      </w:pPr>
      <w:r>
        <w:rPr>
          <w:rFonts w:hint="eastAsia" w:ascii="仿宋" w:hAnsi="仿宋" w:eastAsia="仿宋" w:cs="仿宋"/>
          <w:bCs/>
          <w:sz w:val="28"/>
          <w:szCs w:val="28"/>
        </w:rPr>
        <w:t>2、管理效率指标分析（22分）</w:t>
      </w:r>
    </w:p>
    <w:p w14:paraId="4430A1E0">
      <w:pPr>
        <w:pStyle w:val="19"/>
        <w:spacing w:line="240" w:lineRule="auto"/>
        <w:ind w:left="0"/>
        <w:rPr>
          <w:rFonts w:ascii="仿宋" w:hAnsi="仿宋" w:eastAsia="仿宋" w:cs="仿宋"/>
          <w:b/>
          <w:bCs/>
          <w:sz w:val="28"/>
          <w:szCs w:val="28"/>
        </w:rPr>
      </w:pPr>
      <w:r>
        <w:rPr>
          <w:rFonts w:hint="eastAsia" w:ascii="仿宋" w:hAnsi="仿宋" w:eastAsia="仿宋" w:cs="仿宋"/>
          <w:b/>
          <w:bCs/>
          <w:sz w:val="28"/>
          <w:szCs w:val="28"/>
        </w:rPr>
        <w:t>（1）战略管理（2分）</w:t>
      </w:r>
    </w:p>
    <w:p w14:paraId="0A53B824">
      <w:pPr>
        <w:pStyle w:val="19"/>
        <w:spacing w:line="240" w:lineRule="auto"/>
        <w:ind w:left="0"/>
        <w:rPr>
          <w:rFonts w:ascii="宋体" w:hAnsi="宋体" w:eastAsia="宋体" w:cs="宋体"/>
          <w:sz w:val="28"/>
          <w:szCs w:val="28"/>
        </w:rPr>
      </w:pPr>
      <w:r>
        <w:rPr>
          <w:rFonts w:hint="eastAsia" w:ascii="仿宋" w:hAnsi="仿宋" w:eastAsia="仿宋" w:cs="仿宋"/>
          <w:b/>
          <w:sz w:val="28"/>
          <w:szCs w:val="28"/>
        </w:rPr>
        <w:t>　</w:t>
      </w:r>
      <w:r>
        <w:rPr>
          <w:rFonts w:hint="eastAsia" w:ascii="宋体" w:hAnsi="宋体" w:eastAsia="宋体" w:cs="宋体"/>
          <w:sz w:val="28"/>
          <w:szCs w:val="28"/>
        </w:rPr>
        <w:t>　①、中长期规划相符性（1分)</w:t>
      </w:r>
    </w:p>
    <w:p w14:paraId="7C557ABF">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管理"长效化"，目标值可持续影响（1分）</w:t>
      </w:r>
    </w:p>
    <w:p w14:paraId="116964F1">
      <w:pPr>
        <w:ind w:firstLine="56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1、科学规划重监管，污水处理全覆盖：科学规划，规范污水处理建设；加强监管，保证污水达标排放；争资立项，全力争取资金保障。2、未雨绸缪抓防汛，多措并举保平安：防汛准备落实到位；防汛物资储备到位；汛中应急及时到位。3、设备管护促规范，专班养护保质量：规范排水设施维修程序；网格管理步入规范；排污口专人管理；内河保洁确保质量；清淤排障，污水收集滴水不漏。4、排水许可力推进，行政审批提质效：排水许可全面推进；行政审批日益规范。</w:t>
      </w:r>
    </w:p>
    <w:p w14:paraId="53F17D89">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根据评分标准，本项指标得1分。</w:t>
      </w:r>
    </w:p>
    <w:p w14:paraId="533F4106">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②、工作计划健全性（1分)</w:t>
      </w:r>
    </w:p>
    <w:p w14:paraId="0BA75993">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根据202</w:t>
      </w:r>
      <w:r>
        <w:rPr>
          <w:rFonts w:hint="eastAsia" w:ascii="仿宋" w:hAnsi="仿宋" w:eastAsia="仿宋" w:cs="仿宋"/>
          <w:sz w:val="28"/>
          <w:szCs w:val="28"/>
          <w:lang w:val="en-US" w:eastAsia="zh-CN"/>
        </w:rPr>
        <w:t>4</w:t>
      </w:r>
      <w:r>
        <w:rPr>
          <w:rFonts w:hint="eastAsia" w:ascii="仿宋" w:hAnsi="仿宋" w:eastAsia="仿宋" w:cs="仿宋"/>
          <w:sz w:val="28"/>
          <w:szCs w:val="28"/>
        </w:rPr>
        <w:t>年工作总结及202</w:t>
      </w:r>
      <w:r>
        <w:rPr>
          <w:rFonts w:hint="eastAsia" w:ascii="仿宋" w:hAnsi="仿宋" w:eastAsia="仿宋" w:cs="仿宋"/>
          <w:sz w:val="28"/>
          <w:szCs w:val="28"/>
          <w:lang w:val="en-US" w:eastAsia="zh-CN"/>
        </w:rPr>
        <w:t>5</w:t>
      </w:r>
      <w:r>
        <w:rPr>
          <w:rFonts w:hint="eastAsia" w:ascii="仿宋" w:hAnsi="仿宋" w:eastAsia="仿宋" w:cs="仿宋"/>
          <w:sz w:val="28"/>
          <w:szCs w:val="28"/>
        </w:rPr>
        <w:t>年工作安排，详细阐述了202</w:t>
      </w:r>
      <w:r>
        <w:rPr>
          <w:rFonts w:hint="eastAsia" w:ascii="仿宋" w:hAnsi="仿宋" w:eastAsia="仿宋" w:cs="仿宋"/>
          <w:sz w:val="28"/>
          <w:szCs w:val="28"/>
          <w:lang w:val="en-US" w:eastAsia="zh-CN"/>
        </w:rPr>
        <w:t>5</w:t>
      </w:r>
      <w:r>
        <w:rPr>
          <w:rFonts w:hint="eastAsia" w:ascii="仿宋" w:hAnsi="仿宋" w:eastAsia="仿宋" w:cs="仿宋"/>
          <w:sz w:val="28"/>
          <w:szCs w:val="28"/>
        </w:rPr>
        <w:t>年的工作计划。</w:t>
      </w:r>
    </w:p>
    <w:p w14:paraId="45BB02D0">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根据评分标准，本项指标得1分。</w:t>
      </w:r>
    </w:p>
    <w:p w14:paraId="0963263C">
      <w:pPr>
        <w:pStyle w:val="19"/>
        <w:spacing w:line="240" w:lineRule="auto"/>
        <w:ind w:left="0"/>
        <w:rPr>
          <w:rFonts w:ascii="仿宋" w:hAnsi="仿宋" w:eastAsia="仿宋" w:cs="仿宋"/>
          <w:b/>
          <w:bCs/>
          <w:sz w:val="28"/>
          <w:szCs w:val="28"/>
        </w:rPr>
      </w:pPr>
      <w:r>
        <w:rPr>
          <w:rFonts w:hint="eastAsia" w:ascii="仿宋" w:hAnsi="仿宋" w:eastAsia="仿宋" w:cs="仿宋"/>
          <w:b/>
          <w:bCs/>
          <w:sz w:val="28"/>
          <w:szCs w:val="28"/>
        </w:rPr>
        <w:t>（2）预算编制（5分）</w:t>
      </w:r>
    </w:p>
    <w:p w14:paraId="35D44153">
      <w:pPr>
        <w:pStyle w:val="19"/>
        <w:spacing w:line="240" w:lineRule="auto"/>
        <w:ind w:left="0"/>
        <w:rPr>
          <w:rFonts w:ascii="仿宋" w:hAnsi="仿宋" w:eastAsia="仿宋" w:cs="仿宋"/>
          <w:b/>
          <w:bCs/>
          <w:sz w:val="28"/>
          <w:szCs w:val="28"/>
        </w:rPr>
      </w:pPr>
      <w:r>
        <w:rPr>
          <w:rFonts w:hint="eastAsia" w:ascii="仿宋" w:hAnsi="仿宋" w:eastAsia="仿宋" w:cs="仿宋"/>
          <w:sz w:val="28"/>
          <w:szCs w:val="28"/>
        </w:rPr>
        <w:t>　①、预算编制科学性及合理性（2分）</w:t>
      </w:r>
    </w:p>
    <w:p w14:paraId="7CA7C981">
      <w:pPr>
        <w:pStyle w:val="19"/>
        <w:spacing w:line="240" w:lineRule="auto"/>
        <w:ind w:left="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政府采购执行率，政府采购预算</w:t>
      </w:r>
      <w:r>
        <w:rPr>
          <w:rFonts w:hint="eastAsia" w:ascii="仿宋" w:hAnsi="仿宋" w:eastAsia="仿宋" w:cs="仿宋"/>
          <w:sz w:val="28"/>
          <w:szCs w:val="28"/>
          <w:lang w:val="en-US" w:eastAsia="zh-CN"/>
        </w:rPr>
        <w:t>283.00</w:t>
      </w:r>
      <w:r>
        <w:rPr>
          <w:rFonts w:hint="eastAsia" w:ascii="仿宋" w:hAnsi="仿宋" w:eastAsia="仿宋" w:cs="仿宋"/>
          <w:sz w:val="28"/>
          <w:szCs w:val="28"/>
        </w:rPr>
        <w:t>万元，实际决算支出</w:t>
      </w:r>
      <w:r>
        <w:rPr>
          <w:rFonts w:hint="eastAsia" w:ascii="仿宋" w:hAnsi="仿宋" w:eastAsia="仿宋" w:cs="仿宋"/>
          <w:sz w:val="28"/>
          <w:szCs w:val="28"/>
          <w:lang w:val="en-US" w:eastAsia="zh-CN"/>
        </w:rPr>
        <w:t>4392.08</w:t>
      </w:r>
      <w:r>
        <w:rPr>
          <w:rFonts w:hint="eastAsia" w:ascii="仿宋" w:hAnsi="仿宋" w:eastAsia="仿宋" w:cs="仿宋"/>
          <w:sz w:val="28"/>
          <w:szCs w:val="28"/>
        </w:rPr>
        <w:t>万元，实际预算与决算相差</w:t>
      </w:r>
      <w:r>
        <w:rPr>
          <w:rFonts w:hint="eastAsia" w:ascii="仿宋" w:hAnsi="仿宋" w:eastAsia="仿宋" w:cs="仿宋"/>
          <w:sz w:val="28"/>
          <w:szCs w:val="28"/>
          <w:lang w:val="en-US" w:eastAsia="zh-CN"/>
        </w:rPr>
        <w:t>4109.08</w:t>
      </w:r>
      <w:r>
        <w:rPr>
          <w:rFonts w:hint="eastAsia" w:ascii="仿宋" w:hAnsi="仿宋" w:eastAsia="仿宋" w:cs="仿宋"/>
          <w:sz w:val="28"/>
          <w:szCs w:val="28"/>
        </w:rPr>
        <w:t>万元，预算</w:t>
      </w:r>
      <w:r>
        <w:rPr>
          <w:rFonts w:hint="eastAsia" w:ascii="仿宋" w:hAnsi="仿宋" w:eastAsia="仿宋" w:cs="仿宋"/>
          <w:sz w:val="28"/>
          <w:szCs w:val="28"/>
          <w:lang w:val="en-US" w:eastAsia="zh-CN"/>
        </w:rPr>
        <w:t>未将债券类项目纳入其中</w:t>
      </w:r>
      <w:r>
        <w:rPr>
          <w:rFonts w:hint="eastAsia" w:ascii="仿宋" w:hAnsi="仿宋" w:eastAsia="仿宋" w:cs="仿宋"/>
          <w:sz w:val="28"/>
          <w:szCs w:val="28"/>
        </w:rPr>
        <w:t>，造成预算编制与实际使用情况相差较大。</w:t>
      </w:r>
    </w:p>
    <w:p w14:paraId="5F5EE747">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根据评分标准，本项指标不得分。</w:t>
      </w:r>
    </w:p>
    <w:p w14:paraId="68FA870C">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②、预算调整率（1分）</w:t>
      </w:r>
    </w:p>
    <w:p w14:paraId="00131FFB">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bCs/>
          <w:sz w:val="28"/>
          <w:szCs w:val="28"/>
        </w:rPr>
        <w:t>随州市城市防洪排水事业发展中心</w:t>
      </w:r>
      <w:r>
        <w:rPr>
          <w:rFonts w:hint="eastAsia" w:ascii="仿宋" w:hAnsi="仿宋" w:eastAsia="仿宋" w:cs="仿宋"/>
          <w:sz w:val="28"/>
          <w:szCs w:val="28"/>
        </w:rPr>
        <w:t>提供的202</w:t>
      </w:r>
      <w:r>
        <w:rPr>
          <w:rFonts w:hint="eastAsia" w:ascii="仿宋" w:hAnsi="仿宋" w:eastAsia="仿宋" w:cs="仿宋"/>
          <w:sz w:val="28"/>
          <w:szCs w:val="28"/>
          <w:lang w:val="en-US" w:eastAsia="zh-CN"/>
        </w:rPr>
        <w:t>4</w:t>
      </w:r>
      <w:r>
        <w:rPr>
          <w:rFonts w:hint="eastAsia" w:ascii="仿宋" w:hAnsi="仿宋" w:eastAsia="仿宋" w:cs="仿宋"/>
          <w:sz w:val="28"/>
          <w:szCs w:val="28"/>
        </w:rPr>
        <w:t>年度预算和决算的相关数据，202</w:t>
      </w:r>
      <w:r>
        <w:rPr>
          <w:rFonts w:hint="eastAsia" w:ascii="仿宋" w:hAnsi="仿宋" w:eastAsia="仿宋" w:cs="仿宋"/>
          <w:sz w:val="28"/>
          <w:szCs w:val="28"/>
          <w:lang w:val="en-US" w:eastAsia="zh-CN"/>
        </w:rPr>
        <w:t>4</w:t>
      </w:r>
      <w:r>
        <w:rPr>
          <w:rFonts w:hint="eastAsia" w:ascii="仿宋" w:hAnsi="仿宋" w:eastAsia="仿宋" w:cs="仿宋"/>
          <w:sz w:val="28"/>
          <w:szCs w:val="28"/>
        </w:rPr>
        <w:t>年度预算</w:t>
      </w:r>
      <w:r>
        <w:rPr>
          <w:rFonts w:hint="eastAsia" w:ascii="仿宋" w:hAnsi="仿宋" w:eastAsia="仿宋" w:cs="仿宋"/>
          <w:sz w:val="28"/>
          <w:szCs w:val="28"/>
          <w:lang w:val="en-US" w:eastAsia="zh-CN"/>
        </w:rPr>
        <w:t>2860.91</w:t>
      </w:r>
      <w:r>
        <w:rPr>
          <w:rFonts w:hint="eastAsia" w:ascii="仿宋" w:hAnsi="仿宋" w:eastAsia="仿宋" w:cs="仿宋"/>
          <w:sz w:val="28"/>
          <w:szCs w:val="28"/>
        </w:rPr>
        <w:t>万元，202</w:t>
      </w:r>
      <w:r>
        <w:rPr>
          <w:rFonts w:hint="eastAsia" w:ascii="仿宋" w:hAnsi="仿宋" w:eastAsia="仿宋" w:cs="仿宋"/>
          <w:sz w:val="28"/>
          <w:szCs w:val="28"/>
          <w:lang w:val="en-US" w:eastAsia="zh-CN"/>
        </w:rPr>
        <w:t>4</w:t>
      </w:r>
      <w:r>
        <w:rPr>
          <w:rFonts w:hint="eastAsia" w:ascii="仿宋" w:hAnsi="仿宋" w:eastAsia="仿宋" w:cs="仿宋"/>
          <w:sz w:val="28"/>
          <w:szCs w:val="28"/>
        </w:rPr>
        <w:t>年度决算</w:t>
      </w:r>
      <w:r>
        <w:rPr>
          <w:rFonts w:hint="eastAsia" w:ascii="仿宋" w:hAnsi="仿宋" w:eastAsia="仿宋" w:cs="仿宋"/>
          <w:sz w:val="28"/>
          <w:szCs w:val="28"/>
          <w:lang w:val="en-US" w:eastAsia="zh-CN"/>
        </w:rPr>
        <w:t>5054.06</w:t>
      </w:r>
      <w:r>
        <w:rPr>
          <w:rFonts w:hint="eastAsia" w:ascii="仿宋" w:hAnsi="仿宋" w:eastAsia="仿宋" w:cs="仿宋"/>
          <w:sz w:val="28"/>
          <w:szCs w:val="28"/>
        </w:rPr>
        <w:t>万元，预算调整率</w:t>
      </w:r>
      <w:r>
        <w:rPr>
          <w:rFonts w:hint="eastAsia" w:ascii="仿宋" w:hAnsi="仿宋" w:eastAsia="仿宋" w:cs="仿宋"/>
          <w:sz w:val="28"/>
          <w:szCs w:val="28"/>
          <w:lang w:val="en-US" w:eastAsia="zh-CN"/>
        </w:rPr>
        <w:t>76.66</w:t>
      </w:r>
      <w:r>
        <w:rPr>
          <w:rFonts w:hint="eastAsia" w:ascii="仿宋" w:hAnsi="仿宋" w:eastAsia="仿宋" w:cs="仿宋"/>
          <w:sz w:val="28"/>
          <w:szCs w:val="28"/>
        </w:rPr>
        <w:t>%。</w:t>
      </w:r>
    </w:p>
    <w:p w14:paraId="3C1279E5">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根据评分标准，本项指标不得分。</w:t>
      </w:r>
    </w:p>
    <w:p w14:paraId="5DAA7E93">
      <w:pPr>
        <w:pStyle w:val="19"/>
        <w:spacing w:line="240" w:lineRule="auto"/>
        <w:ind w:left="0"/>
        <w:rPr>
          <w:rFonts w:ascii="仿宋" w:hAnsi="仿宋" w:eastAsia="仿宋" w:cs="仿宋"/>
          <w:b/>
          <w:bCs/>
          <w:sz w:val="28"/>
          <w:szCs w:val="28"/>
        </w:rPr>
      </w:pPr>
      <w:r>
        <w:rPr>
          <w:rFonts w:hint="eastAsia" w:ascii="仿宋" w:hAnsi="仿宋" w:eastAsia="仿宋" w:cs="仿宋"/>
          <w:b/>
          <w:bCs/>
          <w:sz w:val="28"/>
          <w:szCs w:val="28"/>
        </w:rPr>
        <w:t xml:space="preserve">  (3) 预算执行（5分）</w:t>
      </w:r>
    </w:p>
    <w:p w14:paraId="0021BA2A">
      <w:pPr>
        <w:pStyle w:val="19"/>
        <w:spacing w:line="240" w:lineRule="auto"/>
        <w:ind w:left="0" w:firstLine="560"/>
        <w:rPr>
          <w:rFonts w:ascii="仿宋" w:hAnsi="仿宋" w:eastAsia="仿宋" w:cs="仿宋"/>
          <w:sz w:val="28"/>
          <w:szCs w:val="28"/>
        </w:rPr>
      </w:pPr>
      <w:r>
        <w:rPr>
          <w:rFonts w:hint="eastAsia" w:ascii="宋体" w:hAnsi="宋体" w:eastAsia="宋体" w:cs="宋体"/>
          <w:sz w:val="28"/>
          <w:szCs w:val="28"/>
        </w:rPr>
        <w:t>①、</w:t>
      </w:r>
      <w:r>
        <w:rPr>
          <w:rFonts w:hint="eastAsia" w:ascii="仿宋" w:hAnsi="仿宋" w:eastAsia="仿宋" w:cs="仿宋"/>
          <w:sz w:val="28"/>
          <w:szCs w:val="28"/>
        </w:rPr>
        <w:t>预算执行率（2分）</w:t>
      </w:r>
    </w:p>
    <w:p w14:paraId="01CB9708">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bCs/>
          <w:sz w:val="28"/>
          <w:szCs w:val="28"/>
        </w:rPr>
        <w:t>随州市城市防洪排水事业发展中心</w:t>
      </w:r>
      <w:r>
        <w:rPr>
          <w:rFonts w:hint="eastAsia" w:ascii="仿宋" w:hAnsi="仿宋" w:eastAsia="仿宋" w:cs="仿宋"/>
          <w:sz w:val="28"/>
          <w:szCs w:val="28"/>
        </w:rPr>
        <w:t>提供的202</w:t>
      </w:r>
      <w:r>
        <w:rPr>
          <w:rFonts w:hint="eastAsia" w:ascii="仿宋" w:hAnsi="仿宋" w:eastAsia="仿宋" w:cs="仿宋"/>
          <w:sz w:val="28"/>
          <w:szCs w:val="28"/>
          <w:lang w:val="en-US" w:eastAsia="zh-CN"/>
        </w:rPr>
        <w:t>4</w:t>
      </w:r>
      <w:r>
        <w:rPr>
          <w:rFonts w:hint="eastAsia" w:ascii="仿宋" w:hAnsi="仿宋" w:eastAsia="仿宋" w:cs="仿宋"/>
          <w:sz w:val="28"/>
          <w:szCs w:val="28"/>
        </w:rPr>
        <w:t>年度预算和决算的相关数据，202</w:t>
      </w:r>
      <w:r>
        <w:rPr>
          <w:rFonts w:hint="eastAsia" w:ascii="仿宋" w:hAnsi="仿宋" w:eastAsia="仿宋" w:cs="仿宋"/>
          <w:sz w:val="28"/>
          <w:szCs w:val="28"/>
          <w:lang w:val="en-US" w:eastAsia="zh-CN"/>
        </w:rPr>
        <w:t>4全年</w:t>
      </w:r>
      <w:r>
        <w:rPr>
          <w:rFonts w:hint="eastAsia" w:ascii="仿宋" w:hAnsi="仿宋" w:eastAsia="仿宋" w:cs="仿宋"/>
          <w:sz w:val="28"/>
          <w:szCs w:val="28"/>
        </w:rPr>
        <w:t>预算</w:t>
      </w:r>
      <w:r>
        <w:rPr>
          <w:rFonts w:hint="eastAsia" w:ascii="仿宋" w:hAnsi="仿宋" w:eastAsia="仿宋" w:cs="仿宋"/>
          <w:sz w:val="28"/>
          <w:szCs w:val="28"/>
          <w:lang w:val="en-US" w:eastAsia="zh-CN"/>
        </w:rPr>
        <w:t>5054.06</w:t>
      </w:r>
      <w:r>
        <w:rPr>
          <w:rFonts w:hint="eastAsia" w:ascii="仿宋" w:hAnsi="仿宋" w:eastAsia="仿宋" w:cs="仿宋"/>
          <w:sz w:val="28"/>
          <w:szCs w:val="28"/>
        </w:rPr>
        <w:t>万元，202</w:t>
      </w:r>
      <w:r>
        <w:rPr>
          <w:rFonts w:hint="eastAsia" w:ascii="仿宋" w:hAnsi="仿宋" w:eastAsia="仿宋" w:cs="仿宋"/>
          <w:sz w:val="28"/>
          <w:szCs w:val="28"/>
          <w:lang w:val="en-US" w:eastAsia="zh-CN"/>
        </w:rPr>
        <w:t>4</w:t>
      </w:r>
      <w:r>
        <w:rPr>
          <w:rFonts w:hint="eastAsia" w:ascii="仿宋" w:hAnsi="仿宋" w:eastAsia="仿宋" w:cs="仿宋"/>
          <w:sz w:val="28"/>
          <w:szCs w:val="28"/>
        </w:rPr>
        <w:t>年度决算</w:t>
      </w:r>
      <w:r>
        <w:rPr>
          <w:rFonts w:hint="eastAsia" w:ascii="仿宋" w:hAnsi="仿宋" w:eastAsia="仿宋" w:cs="仿宋"/>
          <w:sz w:val="28"/>
          <w:szCs w:val="28"/>
          <w:lang w:val="en-US" w:eastAsia="zh-CN"/>
        </w:rPr>
        <w:t>5054.06</w:t>
      </w:r>
      <w:r>
        <w:rPr>
          <w:rFonts w:hint="eastAsia" w:ascii="仿宋" w:hAnsi="仿宋" w:eastAsia="仿宋" w:cs="仿宋"/>
          <w:sz w:val="28"/>
          <w:szCs w:val="28"/>
        </w:rPr>
        <w:t>万元，预算执行率</w:t>
      </w:r>
      <w:r>
        <w:rPr>
          <w:rFonts w:hint="eastAsia" w:ascii="仿宋" w:hAnsi="仿宋" w:eastAsia="仿宋" w:cs="仿宋"/>
          <w:sz w:val="28"/>
          <w:szCs w:val="28"/>
          <w:lang w:val="en-US" w:eastAsia="zh-CN"/>
        </w:rPr>
        <w:t>100</w:t>
      </w:r>
      <w:r>
        <w:rPr>
          <w:rFonts w:hint="eastAsia" w:ascii="仿宋" w:hAnsi="仿宋" w:eastAsia="仿宋" w:cs="仿宋"/>
          <w:sz w:val="28"/>
          <w:szCs w:val="28"/>
        </w:rPr>
        <w:t>%。</w:t>
      </w:r>
    </w:p>
    <w:p w14:paraId="34F53691">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根据评分标准，本项指标得</w:t>
      </w:r>
      <w:r>
        <w:rPr>
          <w:rFonts w:hint="eastAsia" w:ascii="仿宋" w:hAnsi="仿宋" w:eastAsia="仿宋" w:cs="仿宋"/>
          <w:sz w:val="28"/>
          <w:szCs w:val="28"/>
          <w:lang w:val="en-US" w:eastAsia="zh-CN"/>
        </w:rPr>
        <w:t>2</w:t>
      </w:r>
      <w:r>
        <w:rPr>
          <w:rFonts w:hint="eastAsia" w:ascii="仿宋" w:hAnsi="仿宋" w:eastAsia="仿宋" w:cs="仿宋"/>
          <w:sz w:val="28"/>
          <w:szCs w:val="28"/>
        </w:rPr>
        <w:t>分。</w:t>
      </w:r>
    </w:p>
    <w:p w14:paraId="19C6A5B1">
      <w:pPr>
        <w:pStyle w:val="19"/>
        <w:spacing w:line="240" w:lineRule="auto"/>
        <w:ind w:left="0"/>
        <w:rPr>
          <w:rFonts w:ascii="仿宋" w:hAnsi="仿宋" w:eastAsia="仿宋" w:cs="仿宋"/>
          <w:sz w:val="28"/>
          <w:szCs w:val="28"/>
        </w:rPr>
      </w:pPr>
      <w:r>
        <w:rPr>
          <w:rFonts w:hint="eastAsia" w:ascii="仿宋" w:hAnsi="仿宋" w:eastAsia="仿宋" w:cs="仿宋"/>
          <w:b/>
          <w:bCs/>
          <w:sz w:val="28"/>
          <w:szCs w:val="28"/>
        </w:rPr>
        <w:t xml:space="preserve">    </w:t>
      </w:r>
      <w:r>
        <w:rPr>
          <w:rFonts w:hint="eastAsia" w:ascii="宋体" w:hAnsi="宋体" w:eastAsia="宋体" w:cs="宋体"/>
          <w:sz w:val="28"/>
          <w:szCs w:val="28"/>
        </w:rPr>
        <w:t>②</w:t>
      </w:r>
      <w:r>
        <w:rPr>
          <w:rFonts w:hint="eastAsia" w:ascii="仿宋" w:hAnsi="仿宋" w:eastAsia="仿宋" w:cs="仿宋"/>
          <w:sz w:val="28"/>
          <w:szCs w:val="28"/>
        </w:rPr>
        <w:t>、结转结余率（1分）</w:t>
      </w:r>
    </w:p>
    <w:p w14:paraId="64EC1380">
      <w:pPr>
        <w:pStyle w:val="19"/>
        <w:spacing w:line="240" w:lineRule="auto"/>
        <w:ind w:left="0"/>
        <w:rPr>
          <w:rFonts w:ascii="仿宋" w:hAnsi="仿宋" w:eastAsia="仿宋" w:cs="仿宋"/>
          <w:sz w:val="28"/>
          <w:szCs w:val="28"/>
        </w:rPr>
      </w:pPr>
      <w:r>
        <w:rPr>
          <w:rFonts w:hint="eastAsia" w:ascii="仿宋" w:hAnsi="仿宋" w:eastAsia="仿宋" w:cs="仿宋"/>
          <w:sz w:val="28"/>
          <w:szCs w:val="28"/>
        </w:rPr>
        <w:t xml:space="preserve">     根据</w:t>
      </w:r>
      <w:r>
        <w:rPr>
          <w:rFonts w:hint="eastAsia" w:ascii="仿宋" w:hAnsi="仿宋" w:eastAsia="仿宋" w:cs="仿宋"/>
          <w:bCs/>
          <w:sz w:val="28"/>
          <w:szCs w:val="28"/>
        </w:rPr>
        <w:t>随州市城市防洪排水事业发展中心</w:t>
      </w:r>
      <w:r>
        <w:rPr>
          <w:rFonts w:hint="eastAsia" w:ascii="仿宋" w:hAnsi="仿宋" w:eastAsia="仿宋" w:cs="仿宋"/>
          <w:sz w:val="28"/>
          <w:szCs w:val="28"/>
        </w:rPr>
        <w:t>提供的202</w:t>
      </w:r>
      <w:r>
        <w:rPr>
          <w:rFonts w:hint="eastAsia" w:ascii="仿宋" w:hAnsi="仿宋" w:eastAsia="仿宋" w:cs="仿宋"/>
          <w:sz w:val="28"/>
          <w:szCs w:val="28"/>
          <w:lang w:val="en-US" w:eastAsia="zh-CN"/>
        </w:rPr>
        <w:t>4</w:t>
      </w:r>
      <w:r>
        <w:rPr>
          <w:rFonts w:hint="eastAsia" w:ascii="仿宋" w:hAnsi="仿宋" w:eastAsia="仿宋" w:cs="仿宋"/>
          <w:sz w:val="28"/>
          <w:szCs w:val="28"/>
        </w:rPr>
        <w:t>年度预算和决算的相关数据，202</w:t>
      </w:r>
      <w:r>
        <w:rPr>
          <w:rFonts w:hint="eastAsia" w:ascii="仿宋" w:hAnsi="仿宋" w:eastAsia="仿宋" w:cs="仿宋"/>
          <w:sz w:val="28"/>
          <w:szCs w:val="28"/>
          <w:lang w:val="en-US" w:eastAsia="zh-CN"/>
        </w:rPr>
        <w:t>4全年</w:t>
      </w:r>
      <w:r>
        <w:rPr>
          <w:rFonts w:hint="eastAsia" w:ascii="仿宋" w:hAnsi="仿宋" w:eastAsia="仿宋" w:cs="仿宋"/>
          <w:sz w:val="28"/>
          <w:szCs w:val="28"/>
        </w:rPr>
        <w:t>预算</w:t>
      </w:r>
      <w:r>
        <w:rPr>
          <w:rFonts w:hint="eastAsia" w:ascii="仿宋" w:hAnsi="仿宋" w:eastAsia="仿宋" w:cs="仿宋"/>
          <w:sz w:val="28"/>
          <w:szCs w:val="28"/>
          <w:lang w:val="en-US" w:eastAsia="zh-CN"/>
        </w:rPr>
        <w:t>5054.06</w:t>
      </w:r>
      <w:r>
        <w:rPr>
          <w:rFonts w:hint="eastAsia" w:ascii="仿宋" w:hAnsi="仿宋" w:eastAsia="仿宋" w:cs="仿宋"/>
          <w:sz w:val="28"/>
          <w:szCs w:val="28"/>
        </w:rPr>
        <w:t>万元，202</w:t>
      </w:r>
      <w:r>
        <w:rPr>
          <w:rFonts w:hint="eastAsia" w:ascii="仿宋" w:hAnsi="仿宋" w:eastAsia="仿宋" w:cs="仿宋"/>
          <w:sz w:val="28"/>
          <w:szCs w:val="28"/>
          <w:lang w:val="en-US" w:eastAsia="zh-CN"/>
        </w:rPr>
        <w:t>4</w:t>
      </w:r>
      <w:r>
        <w:rPr>
          <w:rFonts w:hint="eastAsia" w:ascii="仿宋" w:hAnsi="仿宋" w:eastAsia="仿宋" w:cs="仿宋"/>
          <w:sz w:val="28"/>
          <w:szCs w:val="28"/>
        </w:rPr>
        <w:t>年度决算</w:t>
      </w:r>
      <w:r>
        <w:rPr>
          <w:rFonts w:hint="eastAsia" w:ascii="仿宋" w:hAnsi="仿宋" w:eastAsia="仿宋" w:cs="仿宋"/>
          <w:sz w:val="28"/>
          <w:szCs w:val="28"/>
          <w:lang w:val="en-US" w:eastAsia="zh-CN"/>
        </w:rPr>
        <w:t>5054.06</w:t>
      </w:r>
      <w:r>
        <w:rPr>
          <w:rFonts w:hint="eastAsia" w:ascii="仿宋" w:hAnsi="仿宋" w:eastAsia="仿宋" w:cs="仿宋"/>
          <w:sz w:val="28"/>
          <w:szCs w:val="28"/>
        </w:rPr>
        <w:t>万元，调整后的结转结余为0。</w:t>
      </w:r>
    </w:p>
    <w:p w14:paraId="1AE0C2BA">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根据评分标准，本项指标得1分。</w:t>
      </w:r>
    </w:p>
    <w:p w14:paraId="0B8CBC08">
      <w:pPr>
        <w:pStyle w:val="19"/>
        <w:spacing w:line="240" w:lineRule="auto"/>
        <w:ind w:left="0"/>
        <w:rPr>
          <w:rFonts w:hint="eastAsia" w:ascii="仿宋" w:hAnsi="仿宋" w:eastAsia="仿宋" w:cs="仿宋"/>
          <w:bCs/>
          <w:sz w:val="28"/>
          <w:szCs w:val="28"/>
        </w:rPr>
      </w:pPr>
      <w:r>
        <w:rPr>
          <w:rFonts w:hint="eastAsia" w:ascii="宋体" w:hAnsi="宋体" w:eastAsia="宋体" w:cs="宋体"/>
          <w:sz w:val="28"/>
          <w:szCs w:val="28"/>
        </w:rPr>
        <w:t xml:space="preserve">    </w:t>
      </w:r>
      <w:r>
        <w:rPr>
          <w:rFonts w:hint="eastAsia" w:ascii="仿宋" w:hAnsi="仿宋" w:eastAsia="仿宋" w:cs="仿宋"/>
          <w:bCs/>
          <w:sz w:val="28"/>
          <w:szCs w:val="28"/>
        </w:rPr>
        <w:t>③、政府采购执行率（1分）</w:t>
      </w:r>
    </w:p>
    <w:p w14:paraId="34E942DC">
      <w:pPr>
        <w:pStyle w:val="19"/>
        <w:spacing w:line="240" w:lineRule="auto"/>
        <w:ind w:left="0" w:firstLine="560"/>
        <w:rPr>
          <w:rFonts w:hint="eastAsia" w:ascii="仿宋" w:hAnsi="仿宋" w:eastAsia="仿宋" w:cs="仿宋"/>
          <w:sz w:val="28"/>
          <w:szCs w:val="28"/>
          <w:lang w:eastAsia="zh-CN"/>
        </w:rPr>
      </w:pPr>
      <w:r>
        <w:rPr>
          <w:rFonts w:hint="eastAsia" w:ascii="仿宋" w:hAnsi="仿宋" w:eastAsia="仿宋" w:cs="仿宋"/>
          <w:sz w:val="28"/>
          <w:szCs w:val="28"/>
        </w:rPr>
        <w:t>根据</w:t>
      </w:r>
      <w:r>
        <w:rPr>
          <w:rFonts w:hint="eastAsia" w:ascii="仿宋" w:hAnsi="仿宋" w:eastAsia="仿宋" w:cs="仿宋"/>
          <w:bCs/>
          <w:sz w:val="28"/>
          <w:szCs w:val="28"/>
        </w:rPr>
        <w:t>随州市城市防洪排水事业发展中心</w:t>
      </w:r>
      <w:r>
        <w:rPr>
          <w:rFonts w:hint="eastAsia" w:ascii="仿宋" w:hAnsi="仿宋" w:eastAsia="仿宋" w:cs="仿宋"/>
          <w:sz w:val="28"/>
          <w:szCs w:val="28"/>
        </w:rPr>
        <w:t>提供的202</w:t>
      </w:r>
      <w:r>
        <w:rPr>
          <w:rFonts w:hint="eastAsia" w:ascii="仿宋" w:hAnsi="仿宋" w:eastAsia="仿宋" w:cs="仿宋"/>
          <w:sz w:val="28"/>
          <w:szCs w:val="28"/>
          <w:lang w:val="en-US" w:eastAsia="zh-CN"/>
        </w:rPr>
        <w:t>4</w:t>
      </w:r>
      <w:r>
        <w:rPr>
          <w:rFonts w:hint="eastAsia" w:ascii="仿宋" w:hAnsi="仿宋" w:eastAsia="仿宋" w:cs="仿宋"/>
          <w:sz w:val="28"/>
          <w:szCs w:val="28"/>
        </w:rPr>
        <w:t>年度预算和决算的相关数据，202</w:t>
      </w:r>
      <w:r>
        <w:rPr>
          <w:rFonts w:hint="eastAsia" w:ascii="仿宋" w:hAnsi="仿宋" w:eastAsia="仿宋" w:cs="仿宋"/>
          <w:sz w:val="28"/>
          <w:szCs w:val="28"/>
          <w:lang w:val="en-US" w:eastAsia="zh-CN"/>
        </w:rPr>
        <w:t>4</w:t>
      </w:r>
      <w:r>
        <w:rPr>
          <w:rFonts w:hint="eastAsia" w:ascii="仿宋" w:hAnsi="仿宋" w:eastAsia="仿宋" w:cs="仿宋"/>
          <w:sz w:val="28"/>
          <w:szCs w:val="28"/>
        </w:rPr>
        <w:t>年政府采购预算数为</w:t>
      </w:r>
      <w:r>
        <w:rPr>
          <w:rFonts w:hint="eastAsia" w:ascii="仿宋" w:hAnsi="仿宋" w:eastAsia="仿宋" w:cs="仿宋"/>
          <w:sz w:val="28"/>
          <w:szCs w:val="28"/>
          <w:lang w:val="en-US" w:eastAsia="zh-CN"/>
        </w:rPr>
        <w:t>283.00</w:t>
      </w:r>
      <w:r>
        <w:rPr>
          <w:rFonts w:hint="eastAsia" w:ascii="仿宋" w:hAnsi="仿宋" w:eastAsia="仿宋" w:cs="仿宋"/>
          <w:sz w:val="28"/>
          <w:szCs w:val="28"/>
        </w:rPr>
        <w:t>万元，实际支出</w:t>
      </w:r>
      <w:r>
        <w:rPr>
          <w:rFonts w:hint="eastAsia" w:ascii="仿宋" w:hAnsi="仿宋" w:eastAsia="仿宋" w:cs="仿宋"/>
          <w:sz w:val="28"/>
          <w:szCs w:val="28"/>
          <w:lang w:val="en-US" w:eastAsia="zh-CN"/>
        </w:rPr>
        <w:t>4392.08</w:t>
      </w:r>
      <w:r>
        <w:rPr>
          <w:rFonts w:hint="eastAsia" w:ascii="仿宋" w:hAnsi="仿宋" w:eastAsia="仿宋" w:cs="仿宋"/>
          <w:sz w:val="28"/>
          <w:szCs w:val="28"/>
        </w:rPr>
        <w:t>万元</w:t>
      </w:r>
      <w:r>
        <w:rPr>
          <w:rFonts w:hint="eastAsia" w:ascii="仿宋" w:hAnsi="仿宋" w:eastAsia="仿宋" w:cs="仿宋"/>
          <w:sz w:val="28"/>
          <w:szCs w:val="28"/>
          <w:lang w:eastAsia="zh-CN"/>
        </w:rPr>
        <w:t>。</w:t>
      </w:r>
    </w:p>
    <w:p w14:paraId="51F19F25">
      <w:pPr>
        <w:pStyle w:val="19"/>
        <w:spacing w:line="240" w:lineRule="auto"/>
        <w:ind w:left="0"/>
        <w:rPr>
          <w:rFonts w:ascii="仿宋" w:hAnsi="仿宋" w:eastAsia="仿宋" w:cs="仿宋"/>
          <w:sz w:val="28"/>
          <w:szCs w:val="28"/>
        </w:rPr>
      </w:pPr>
      <w:r>
        <w:rPr>
          <w:rFonts w:hint="eastAsia" w:ascii="仿宋" w:hAnsi="仿宋" w:eastAsia="仿宋" w:cs="仿宋"/>
          <w:sz w:val="28"/>
          <w:szCs w:val="28"/>
        </w:rPr>
        <w:t>政府采购执行率=（实际政府采购金额/政府采购预算数）×100%</w:t>
      </w:r>
    </w:p>
    <w:p w14:paraId="236642DC">
      <w:pPr>
        <w:pStyle w:val="19"/>
        <w:spacing w:line="240" w:lineRule="auto"/>
        <w:ind w:left="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4392.08</w:t>
      </w:r>
      <w:r>
        <w:rPr>
          <w:rFonts w:hint="eastAsia" w:ascii="仿宋" w:hAnsi="仿宋" w:eastAsia="仿宋" w:cs="仿宋"/>
          <w:sz w:val="28"/>
          <w:szCs w:val="28"/>
        </w:rPr>
        <w:t>/</w:t>
      </w:r>
      <w:r>
        <w:rPr>
          <w:rFonts w:hint="eastAsia" w:ascii="仿宋" w:hAnsi="仿宋" w:eastAsia="仿宋" w:cs="仿宋"/>
          <w:sz w:val="28"/>
          <w:szCs w:val="28"/>
          <w:lang w:val="en-US" w:eastAsia="zh-CN"/>
        </w:rPr>
        <w:t>283.00</w:t>
      </w:r>
      <w:r>
        <w:rPr>
          <w:rFonts w:hint="eastAsia" w:ascii="仿宋" w:hAnsi="仿宋" w:eastAsia="仿宋" w:cs="仿宋"/>
          <w:sz w:val="28"/>
          <w:szCs w:val="28"/>
        </w:rPr>
        <w:t>×100%=</w:t>
      </w:r>
      <w:r>
        <w:rPr>
          <w:rFonts w:hint="eastAsia" w:ascii="仿宋" w:hAnsi="仿宋" w:eastAsia="仿宋" w:cs="仿宋"/>
          <w:sz w:val="28"/>
          <w:szCs w:val="28"/>
          <w:lang w:val="en-US" w:eastAsia="zh-CN"/>
        </w:rPr>
        <w:t>1551.97</w:t>
      </w:r>
      <w:r>
        <w:rPr>
          <w:rFonts w:hint="eastAsia" w:ascii="仿宋" w:hAnsi="仿宋" w:eastAsia="仿宋" w:cs="仿宋"/>
          <w:sz w:val="28"/>
          <w:szCs w:val="28"/>
        </w:rPr>
        <w:t>%</w:t>
      </w:r>
    </w:p>
    <w:p w14:paraId="611E04C1">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根据评分标准，本项指标不得分。</w:t>
      </w:r>
    </w:p>
    <w:p w14:paraId="2DD1F950">
      <w:pPr>
        <w:pStyle w:val="19"/>
        <w:spacing w:line="240" w:lineRule="auto"/>
        <w:ind w:left="0" w:firstLine="560"/>
        <w:rPr>
          <w:rFonts w:ascii="仿宋" w:hAnsi="仿宋" w:eastAsia="仿宋" w:cs="仿宋"/>
          <w:sz w:val="28"/>
          <w:szCs w:val="28"/>
        </w:rPr>
      </w:pPr>
      <w:r>
        <w:rPr>
          <w:rFonts w:hint="eastAsia" w:ascii="宋体" w:hAnsi="宋体" w:eastAsia="宋体" w:cs="宋体"/>
          <w:sz w:val="28"/>
          <w:szCs w:val="28"/>
        </w:rPr>
        <w:t>④</w:t>
      </w:r>
      <w:r>
        <w:rPr>
          <w:rFonts w:hint="eastAsia" w:ascii="仿宋" w:hAnsi="仿宋" w:eastAsia="仿宋" w:cs="仿宋"/>
          <w:sz w:val="28"/>
          <w:szCs w:val="28"/>
        </w:rPr>
        <w:t>、非税收入预算完成率（1分）</w:t>
      </w:r>
    </w:p>
    <w:p w14:paraId="6643B327">
      <w:pPr>
        <w:pStyle w:val="19"/>
        <w:spacing w:line="240" w:lineRule="auto"/>
        <w:ind w:left="0" w:firstLine="560"/>
        <w:rPr>
          <w:rFonts w:hint="eastAsia" w:ascii="仿宋" w:hAnsi="仿宋" w:eastAsia="仿宋" w:cs="仿宋"/>
          <w:sz w:val="28"/>
          <w:szCs w:val="28"/>
          <w:lang w:eastAsia="zh-CN"/>
        </w:rPr>
      </w:pPr>
      <w:r>
        <w:rPr>
          <w:rFonts w:hint="eastAsia" w:ascii="仿宋" w:hAnsi="仿宋" w:eastAsia="仿宋" w:cs="仿宋"/>
          <w:sz w:val="28"/>
          <w:szCs w:val="28"/>
        </w:rPr>
        <w:t>根据</w:t>
      </w:r>
      <w:r>
        <w:rPr>
          <w:rFonts w:hint="eastAsia" w:ascii="仿宋" w:hAnsi="仿宋" w:eastAsia="仿宋" w:cs="仿宋"/>
          <w:bCs/>
          <w:sz w:val="28"/>
          <w:szCs w:val="28"/>
        </w:rPr>
        <w:t>随州市城市防洪排水事业发展中心</w:t>
      </w:r>
      <w:r>
        <w:rPr>
          <w:rFonts w:hint="eastAsia" w:ascii="仿宋" w:hAnsi="仿宋" w:eastAsia="仿宋" w:cs="仿宋"/>
          <w:sz w:val="28"/>
          <w:szCs w:val="28"/>
        </w:rPr>
        <w:t>提供的202</w:t>
      </w:r>
      <w:r>
        <w:rPr>
          <w:rFonts w:hint="eastAsia" w:ascii="仿宋" w:hAnsi="仿宋" w:eastAsia="仿宋" w:cs="仿宋"/>
          <w:sz w:val="28"/>
          <w:szCs w:val="28"/>
          <w:lang w:val="en-US" w:eastAsia="zh-CN"/>
        </w:rPr>
        <w:t>4</w:t>
      </w:r>
      <w:r>
        <w:rPr>
          <w:rFonts w:hint="eastAsia" w:ascii="仿宋" w:hAnsi="仿宋" w:eastAsia="仿宋" w:cs="仿宋"/>
          <w:sz w:val="28"/>
          <w:szCs w:val="28"/>
        </w:rPr>
        <w:t>年度预算和决算的相关数据，202</w:t>
      </w:r>
      <w:r>
        <w:rPr>
          <w:rFonts w:hint="eastAsia" w:ascii="仿宋" w:hAnsi="仿宋" w:eastAsia="仿宋" w:cs="仿宋"/>
          <w:sz w:val="28"/>
          <w:szCs w:val="28"/>
          <w:lang w:val="en-US" w:eastAsia="zh-CN"/>
        </w:rPr>
        <w:t>4</w:t>
      </w:r>
      <w:r>
        <w:rPr>
          <w:rFonts w:hint="eastAsia" w:ascii="仿宋" w:hAnsi="仿宋" w:eastAsia="仿宋" w:cs="仿宋"/>
          <w:sz w:val="28"/>
          <w:szCs w:val="28"/>
        </w:rPr>
        <w:t>年预算</w:t>
      </w:r>
      <w:r>
        <w:rPr>
          <w:rFonts w:hint="eastAsia" w:ascii="仿宋" w:hAnsi="仿宋" w:eastAsia="仿宋" w:cs="仿宋"/>
          <w:sz w:val="28"/>
          <w:szCs w:val="28"/>
          <w:lang w:val="en-US" w:eastAsia="zh-CN"/>
        </w:rPr>
        <w:t>7</w:t>
      </w:r>
      <w:r>
        <w:rPr>
          <w:rFonts w:hint="eastAsia" w:ascii="仿宋" w:hAnsi="仿宋" w:eastAsia="仿宋" w:cs="仿宋"/>
          <w:sz w:val="28"/>
          <w:szCs w:val="28"/>
        </w:rPr>
        <w:t>0万元</w:t>
      </w:r>
      <w:r>
        <w:rPr>
          <w:rFonts w:hint="eastAsia" w:ascii="仿宋" w:hAnsi="仿宋" w:eastAsia="仿宋" w:cs="仿宋"/>
          <w:sz w:val="28"/>
          <w:szCs w:val="28"/>
          <w:lang w:eastAsia="zh-CN"/>
        </w:rPr>
        <w:t>。</w:t>
      </w: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年决算</w:t>
      </w:r>
      <w:r>
        <w:rPr>
          <w:rFonts w:hint="eastAsia" w:ascii="仿宋" w:hAnsi="仿宋" w:eastAsia="仿宋" w:cs="仿宋"/>
          <w:sz w:val="28"/>
          <w:szCs w:val="28"/>
          <w:lang w:val="en-US" w:eastAsia="zh-CN"/>
        </w:rPr>
        <w:t>33.2</w:t>
      </w:r>
      <w:r>
        <w:rPr>
          <w:rFonts w:hint="eastAsia" w:ascii="仿宋" w:hAnsi="仿宋" w:eastAsia="仿宋" w:cs="仿宋"/>
          <w:sz w:val="28"/>
          <w:szCs w:val="28"/>
        </w:rPr>
        <w:t>万元</w:t>
      </w:r>
      <w:r>
        <w:rPr>
          <w:rFonts w:hint="eastAsia" w:ascii="仿宋" w:hAnsi="仿宋" w:eastAsia="仿宋" w:cs="仿宋"/>
          <w:sz w:val="28"/>
          <w:szCs w:val="28"/>
          <w:lang w:eastAsia="zh-CN"/>
        </w:rPr>
        <w:t>。</w:t>
      </w:r>
    </w:p>
    <w:p w14:paraId="64650A37">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非税收入预算完成率=</w:t>
      </w:r>
      <w:r>
        <w:rPr>
          <w:rFonts w:hint="eastAsia" w:ascii="仿宋" w:hAnsi="仿宋" w:eastAsia="仿宋" w:cs="仿宋"/>
          <w:sz w:val="28"/>
          <w:szCs w:val="28"/>
          <w:lang w:val="en-US" w:eastAsia="zh-CN"/>
        </w:rPr>
        <w:t>33.2</w:t>
      </w: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0=4</w:t>
      </w:r>
      <w:r>
        <w:rPr>
          <w:rFonts w:hint="eastAsia" w:ascii="仿宋" w:hAnsi="仿宋" w:eastAsia="仿宋" w:cs="仿宋"/>
          <w:sz w:val="28"/>
          <w:szCs w:val="28"/>
          <w:lang w:val="en-US" w:eastAsia="zh-CN"/>
        </w:rPr>
        <w:t>7.43</w:t>
      </w:r>
      <w:r>
        <w:rPr>
          <w:rFonts w:hint="eastAsia" w:ascii="仿宋" w:hAnsi="仿宋" w:eastAsia="仿宋" w:cs="仿宋"/>
          <w:sz w:val="28"/>
          <w:szCs w:val="28"/>
        </w:rPr>
        <w:t>%</w:t>
      </w:r>
    </w:p>
    <w:p w14:paraId="70C43FE4">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根据评分标准，本项指标得</w:t>
      </w:r>
      <w:r>
        <w:rPr>
          <w:rFonts w:hint="eastAsia" w:ascii="仿宋" w:hAnsi="仿宋" w:eastAsia="仿宋" w:cs="仿宋"/>
          <w:sz w:val="28"/>
          <w:szCs w:val="28"/>
          <w:lang w:val="en-US" w:eastAsia="zh-CN"/>
        </w:rPr>
        <w:t>1</w:t>
      </w:r>
      <w:r>
        <w:rPr>
          <w:rFonts w:hint="eastAsia" w:ascii="仿宋" w:hAnsi="仿宋" w:eastAsia="仿宋" w:cs="仿宋"/>
          <w:sz w:val="28"/>
          <w:szCs w:val="28"/>
        </w:rPr>
        <w:t>分。</w:t>
      </w:r>
    </w:p>
    <w:p w14:paraId="312CCC4C">
      <w:pPr>
        <w:pStyle w:val="19"/>
        <w:spacing w:line="240" w:lineRule="auto"/>
        <w:ind w:left="0"/>
        <w:rPr>
          <w:rFonts w:ascii="仿宋" w:hAnsi="仿宋" w:eastAsia="仿宋" w:cs="仿宋"/>
          <w:b/>
          <w:bCs/>
          <w:sz w:val="28"/>
          <w:szCs w:val="28"/>
        </w:rPr>
      </w:pPr>
      <w:r>
        <w:rPr>
          <w:rFonts w:hint="eastAsia" w:ascii="仿宋" w:hAnsi="仿宋" w:eastAsia="仿宋" w:cs="仿宋"/>
          <w:b/>
          <w:bCs/>
          <w:sz w:val="28"/>
          <w:szCs w:val="28"/>
        </w:rPr>
        <w:t>(4) 绩效管理（5分）</w:t>
      </w:r>
    </w:p>
    <w:p w14:paraId="3ED34152">
      <w:pPr>
        <w:pStyle w:val="19"/>
        <w:spacing w:line="240" w:lineRule="auto"/>
        <w:ind w:left="0" w:firstLine="560"/>
        <w:rPr>
          <w:rFonts w:ascii="仿宋" w:hAnsi="仿宋" w:eastAsia="仿宋" w:cs="仿宋"/>
          <w:sz w:val="28"/>
          <w:szCs w:val="28"/>
        </w:rPr>
      </w:pPr>
      <w:r>
        <w:rPr>
          <w:rFonts w:hint="eastAsia" w:ascii="宋体" w:hAnsi="宋体" w:eastAsia="宋体" w:cs="宋体"/>
          <w:sz w:val="28"/>
          <w:szCs w:val="28"/>
        </w:rPr>
        <w:t>①、</w:t>
      </w:r>
      <w:r>
        <w:rPr>
          <w:rFonts w:hint="eastAsia" w:ascii="仿宋" w:hAnsi="仿宋" w:eastAsia="仿宋" w:cs="仿宋"/>
          <w:sz w:val="28"/>
          <w:szCs w:val="28"/>
        </w:rPr>
        <w:t>我单位成立了随州市城市防洪排水事业发展中心202</w:t>
      </w:r>
      <w:r>
        <w:rPr>
          <w:rFonts w:hint="eastAsia" w:ascii="仿宋" w:hAnsi="仿宋" w:eastAsia="仿宋" w:cs="仿宋"/>
          <w:sz w:val="28"/>
          <w:szCs w:val="28"/>
          <w:lang w:val="en-US" w:eastAsia="zh-CN"/>
        </w:rPr>
        <w:t>4</w:t>
      </w:r>
      <w:r>
        <w:rPr>
          <w:rFonts w:hint="eastAsia" w:ascii="仿宋" w:hAnsi="仿宋" w:eastAsia="仿宋" w:cs="仿宋"/>
          <w:sz w:val="28"/>
          <w:szCs w:val="28"/>
        </w:rPr>
        <w:t>年度绩效评价工作领导小组。以单位一把手为组长，分管领导为副组长，各科室负责人为成员的绩效评价工作领导小组，抽调专人组建工作专班，具体负责绩效评价工作。根据绩效自评工作要求，制定了202</w:t>
      </w:r>
      <w:r>
        <w:rPr>
          <w:rFonts w:hint="eastAsia" w:ascii="仿宋" w:hAnsi="仿宋" w:eastAsia="仿宋" w:cs="仿宋"/>
          <w:sz w:val="28"/>
          <w:szCs w:val="28"/>
          <w:lang w:val="en-US" w:eastAsia="zh-CN"/>
        </w:rPr>
        <w:t>4</w:t>
      </w:r>
      <w:r>
        <w:rPr>
          <w:rFonts w:hint="eastAsia" w:ascii="仿宋" w:hAnsi="仿宋" w:eastAsia="仿宋" w:cs="仿宋"/>
          <w:sz w:val="28"/>
          <w:szCs w:val="28"/>
        </w:rPr>
        <w:t>年度绩效评价工作方案，对绩效评价工作的时间、步骤、措施等提出了具体要求。</w:t>
      </w:r>
    </w:p>
    <w:p w14:paraId="6A268BC2">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bCs/>
          <w:sz w:val="28"/>
          <w:szCs w:val="28"/>
        </w:rPr>
        <w:t>随州市城市防洪排水事业发展中心</w:t>
      </w:r>
      <w:r>
        <w:rPr>
          <w:rFonts w:hint="eastAsia" w:ascii="仿宋" w:hAnsi="仿宋" w:eastAsia="仿宋" w:cs="仿宋"/>
          <w:sz w:val="28"/>
          <w:szCs w:val="28"/>
        </w:rPr>
        <w:t>提供的202</w:t>
      </w:r>
      <w:r>
        <w:rPr>
          <w:rFonts w:hint="eastAsia" w:ascii="仿宋" w:hAnsi="仿宋" w:eastAsia="仿宋" w:cs="仿宋"/>
          <w:sz w:val="28"/>
          <w:szCs w:val="28"/>
          <w:lang w:val="en-US" w:eastAsia="zh-CN"/>
        </w:rPr>
        <w:t>4</w:t>
      </w:r>
      <w:r>
        <w:rPr>
          <w:rFonts w:hint="eastAsia" w:ascii="仿宋" w:hAnsi="仿宋" w:eastAsia="仿宋" w:cs="仿宋"/>
          <w:sz w:val="28"/>
          <w:szCs w:val="28"/>
        </w:rPr>
        <w:t>年度预算和决算的相关数据，绩效申报项目预算</w:t>
      </w:r>
      <w:r>
        <w:rPr>
          <w:rFonts w:hint="eastAsia" w:ascii="仿宋" w:hAnsi="仿宋" w:eastAsia="仿宋" w:cs="仿宋"/>
          <w:sz w:val="28"/>
          <w:szCs w:val="28"/>
          <w:lang w:val="en-US" w:eastAsia="zh-CN"/>
        </w:rPr>
        <w:t>283</w:t>
      </w:r>
      <w:r>
        <w:rPr>
          <w:rFonts w:hint="eastAsia" w:ascii="仿宋" w:hAnsi="仿宋" w:eastAsia="仿宋" w:cs="仿宋"/>
          <w:sz w:val="28"/>
          <w:szCs w:val="28"/>
        </w:rPr>
        <w:t>万元,实际项目决算</w:t>
      </w:r>
      <w:r>
        <w:rPr>
          <w:rFonts w:hint="eastAsia" w:ascii="仿宋" w:hAnsi="仿宋" w:eastAsia="仿宋" w:cs="仿宋"/>
          <w:sz w:val="28"/>
          <w:szCs w:val="28"/>
          <w:lang w:val="en-US" w:eastAsia="zh-CN"/>
        </w:rPr>
        <w:t>4392.08</w:t>
      </w:r>
      <w:r>
        <w:rPr>
          <w:rFonts w:hint="eastAsia" w:ascii="仿宋" w:hAnsi="仿宋" w:eastAsia="仿宋" w:cs="仿宋"/>
          <w:sz w:val="28"/>
          <w:szCs w:val="28"/>
        </w:rPr>
        <w:t>万元,调整</w:t>
      </w:r>
      <w:r>
        <w:rPr>
          <w:rFonts w:hint="eastAsia" w:ascii="仿宋" w:hAnsi="仿宋" w:eastAsia="仿宋" w:cs="仿宋"/>
          <w:sz w:val="28"/>
          <w:szCs w:val="28"/>
          <w:lang w:val="en-US" w:eastAsia="zh-CN"/>
        </w:rPr>
        <w:t>4109.08</w:t>
      </w:r>
      <w:r>
        <w:rPr>
          <w:rFonts w:hint="eastAsia" w:ascii="仿宋" w:hAnsi="仿宋" w:eastAsia="仿宋" w:cs="仿宋"/>
          <w:sz w:val="28"/>
          <w:szCs w:val="28"/>
        </w:rPr>
        <w:t>万元。预算</w:t>
      </w:r>
      <w:r>
        <w:rPr>
          <w:rFonts w:hint="eastAsia" w:ascii="仿宋" w:hAnsi="仿宋" w:eastAsia="仿宋" w:cs="仿宋"/>
          <w:sz w:val="28"/>
          <w:szCs w:val="28"/>
          <w:lang w:val="en-US" w:eastAsia="zh-CN"/>
        </w:rPr>
        <w:t>未将债券类项目纳入其中</w:t>
      </w:r>
      <w:r>
        <w:rPr>
          <w:rFonts w:hint="eastAsia" w:ascii="仿宋" w:hAnsi="仿宋" w:eastAsia="仿宋" w:cs="仿宋"/>
          <w:sz w:val="28"/>
          <w:szCs w:val="28"/>
        </w:rPr>
        <w:t>，造成预算编制与实际使用情况相差较大。</w:t>
      </w:r>
    </w:p>
    <w:p w14:paraId="6CDB50DB">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随州市城市防洪排水事业发展中心202</w:t>
      </w:r>
      <w:r>
        <w:rPr>
          <w:rFonts w:hint="eastAsia" w:ascii="仿宋" w:hAnsi="仿宋" w:eastAsia="仿宋" w:cs="仿宋"/>
          <w:sz w:val="28"/>
          <w:szCs w:val="28"/>
          <w:lang w:val="en-US" w:eastAsia="zh-CN"/>
        </w:rPr>
        <w:t>4</w:t>
      </w:r>
      <w:r>
        <w:rPr>
          <w:rFonts w:hint="eastAsia" w:ascii="仿宋" w:hAnsi="仿宋" w:eastAsia="仿宋" w:cs="仿宋"/>
          <w:sz w:val="28"/>
          <w:szCs w:val="28"/>
        </w:rPr>
        <w:t>年度绩效评价工作领导小组成员对绩效评价文件和相关政策依据进行了深入学习，了解绩效评份工作的重要性和必要性。由工作专班按照绩效评价工作方案的要求精心组织实施，搜集相关资料，查阅相关表格，核实相关数据，扎扎实实开展绩效自评工作。</w:t>
      </w:r>
    </w:p>
    <w:p w14:paraId="150A6D55">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绩效评价工作专班将采集的自评相关基础数据和资料进行整理汇总，并以预算申报的绩效目标为基础，根据公正公开、分组分类的原则，结合决算数据，对本年度实际的产出指标和效益指标进行分析，比较预算绩效目标完成情况，详细分析原因，提出建议，并根据建议提出整改方案。</w:t>
      </w:r>
    </w:p>
    <w:p w14:paraId="4B6AC7A8">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根据评分标准，本项指标得4分。</w:t>
      </w:r>
    </w:p>
    <w:p w14:paraId="19999EBA">
      <w:pPr>
        <w:pStyle w:val="19"/>
        <w:spacing w:line="240" w:lineRule="auto"/>
        <w:ind w:left="0"/>
        <w:rPr>
          <w:rFonts w:ascii="仿宋" w:hAnsi="仿宋" w:eastAsia="仿宋" w:cs="仿宋"/>
          <w:b/>
          <w:bCs/>
          <w:sz w:val="28"/>
          <w:szCs w:val="28"/>
        </w:rPr>
      </w:pPr>
      <w:r>
        <w:rPr>
          <w:rFonts w:hint="eastAsia" w:ascii="仿宋" w:hAnsi="仿宋" w:eastAsia="仿宋" w:cs="仿宋"/>
          <w:b/>
          <w:bCs/>
          <w:sz w:val="28"/>
          <w:szCs w:val="28"/>
        </w:rPr>
        <w:t>(5) 资产管理（2分）</w:t>
      </w:r>
    </w:p>
    <w:p w14:paraId="438F03A1">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随州市城市防洪排水事业发展中心为加强资产管理、规范资产管理行为而制定了《资产管理制度》，建立固定资产管理责任制，明确单项资产的责任科室和责任人，坚持定期盘点清查制度，每年年终资产管理人员组织对固定资产进行一次全面清查，保证账账、账卡、账实相符。</w:t>
      </w:r>
    </w:p>
    <w:p w14:paraId="06B73BE5">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本项指标得满分2分。</w:t>
      </w:r>
    </w:p>
    <w:p w14:paraId="6B08671E">
      <w:pPr>
        <w:pStyle w:val="19"/>
        <w:spacing w:line="240" w:lineRule="auto"/>
        <w:ind w:left="0"/>
        <w:rPr>
          <w:rFonts w:ascii="仿宋" w:hAnsi="仿宋" w:eastAsia="仿宋" w:cs="仿宋"/>
          <w:b/>
          <w:bCs/>
          <w:sz w:val="28"/>
          <w:szCs w:val="28"/>
        </w:rPr>
      </w:pPr>
      <w:r>
        <w:rPr>
          <w:rFonts w:hint="eastAsia" w:ascii="仿宋" w:hAnsi="仿宋" w:eastAsia="仿宋" w:cs="仿宋"/>
          <w:b/>
          <w:bCs/>
          <w:sz w:val="28"/>
          <w:szCs w:val="28"/>
        </w:rPr>
        <w:t>(6) 财务管理（3分）</w:t>
      </w:r>
    </w:p>
    <w:p w14:paraId="5117A8E4">
      <w:pPr>
        <w:pStyle w:val="19"/>
        <w:spacing w:line="240" w:lineRule="auto"/>
        <w:ind w:left="0"/>
        <w:rPr>
          <w:rFonts w:ascii="仿宋" w:hAnsi="仿宋" w:eastAsia="仿宋" w:cs="仿宋"/>
          <w:sz w:val="28"/>
          <w:szCs w:val="28"/>
        </w:rPr>
      </w:pPr>
      <w:r>
        <w:rPr>
          <w:rFonts w:hint="eastAsia" w:ascii="仿宋" w:hAnsi="仿宋" w:eastAsia="仿宋" w:cs="仿宋"/>
          <w:sz w:val="28"/>
          <w:szCs w:val="28"/>
        </w:rPr>
        <w:t>　 随州市城市防洪排水事业发展中心制定的《内部控制制度》健全完善，其中涵盖了《预算管理制度》、《收支管理制度》、《资金管理制度》等业务管理制度，对项目的顺利实施起到了保障作用，对财务规范、安全运行起到了较好的保障作用，符合《会计法》、《预算法》等国家财经</w:t>
      </w:r>
      <w:r>
        <w:rPr>
          <w:rFonts w:hint="eastAsia" w:ascii="仿宋" w:hAnsi="仿宋" w:eastAsia="仿宋" w:cs="仿宋"/>
          <w:sz w:val="28"/>
          <w:szCs w:val="28"/>
          <w:lang w:eastAsia="zh-CN"/>
        </w:rPr>
        <w:t>法律法规</w:t>
      </w:r>
      <w:r>
        <w:rPr>
          <w:rFonts w:hint="eastAsia" w:ascii="仿宋" w:hAnsi="仿宋" w:eastAsia="仿宋" w:cs="仿宋"/>
          <w:sz w:val="28"/>
          <w:szCs w:val="28"/>
        </w:rPr>
        <w:t>的要求，符合《政府会计制度》规定，进行了财务会计与核算会计</w:t>
      </w:r>
      <w:r>
        <w:rPr>
          <w:rFonts w:hint="eastAsia" w:ascii="仿宋" w:hAnsi="仿宋" w:eastAsia="仿宋" w:cs="仿宋"/>
          <w:sz w:val="28"/>
          <w:szCs w:val="28"/>
          <w:lang w:eastAsia="zh-CN"/>
        </w:rPr>
        <w:t>账</w:t>
      </w:r>
      <w:r>
        <w:rPr>
          <w:rFonts w:hint="eastAsia" w:ascii="仿宋" w:hAnsi="仿宋" w:eastAsia="仿宋" w:cs="仿宋"/>
          <w:sz w:val="28"/>
          <w:szCs w:val="28"/>
        </w:rPr>
        <w:t>务处理。</w:t>
      </w:r>
    </w:p>
    <w:p w14:paraId="33625082">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本项指标得满分3分。</w:t>
      </w:r>
    </w:p>
    <w:p w14:paraId="188B73E3">
      <w:pPr>
        <w:pStyle w:val="19"/>
        <w:spacing w:line="240" w:lineRule="auto"/>
        <w:ind w:left="0"/>
        <w:rPr>
          <w:rFonts w:ascii="仿宋" w:hAnsi="仿宋" w:eastAsia="仿宋" w:cs="仿宋"/>
          <w:b/>
          <w:bCs/>
          <w:sz w:val="28"/>
          <w:szCs w:val="28"/>
        </w:rPr>
      </w:pPr>
      <w:r>
        <w:rPr>
          <w:rFonts w:hint="eastAsia" w:ascii="仿宋" w:hAnsi="仿宋" w:eastAsia="仿宋" w:cs="仿宋"/>
          <w:b/>
          <w:bCs/>
          <w:sz w:val="28"/>
          <w:szCs w:val="28"/>
        </w:rPr>
        <w:t>3、履职效能（30分）</w:t>
      </w:r>
    </w:p>
    <w:p w14:paraId="33746C56">
      <w:pPr>
        <w:pStyle w:val="19"/>
        <w:spacing w:line="240" w:lineRule="auto"/>
        <w:ind w:left="0"/>
        <w:rPr>
          <w:rFonts w:ascii="仿宋" w:hAnsi="仿宋" w:eastAsia="仿宋" w:cs="仿宋"/>
          <w:sz w:val="28"/>
          <w:szCs w:val="28"/>
        </w:rPr>
      </w:pPr>
      <w:r>
        <w:rPr>
          <w:rFonts w:hint="eastAsia" w:ascii="仿宋" w:hAnsi="仿宋" w:eastAsia="仿宋" w:cs="仿宋"/>
          <w:sz w:val="28"/>
          <w:szCs w:val="28"/>
        </w:rPr>
        <w:t xml:space="preserve">   ①、防汛安全保障工作（10分）</w:t>
      </w:r>
    </w:p>
    <w:p w14:paraId="66499F6E">
      <w:pPr>
        <w:pStyle w:val="19"/>
        <w:spacing w:line="240" w:lineRule="auto"/>
        <w:ind w:left="0"/>
        <w:rPr>
          <w:rFonts w:hint="eastAsia" w:ascii="仿宋" w:hAnsi="仿宋" w:eastAsia="仿宋" w:cs="仿宋"/>
          <w:sz w:val="28"/>
          <w:szCs w:val="28"/>
        </w:rPr>
      </w:pPr>
      <w:bookmarkStart w:id="0" w:name="OLE_LINK15"/>
      <w:r>
        <w:rPr>
          <w:rFonts w:hint="eastAsia" w:ascii="仿宋" w:hAnsi="仿宋" w:eastAsia="仿宋" w:cs="仿宋"/>
          <w:sz w:val="28"/>
          <w:szCs w:val="28"/>
        </w:rPr>
        <w:t xml:space="preserve">   随州市城市防洪排水事业发展中心结合历年汛期防汛排涝工作情况，编制完成了《随州市城区防汛抢险应急预案》，明确各防汛成员单位工作职责和应对措施。城区防办印发了《202</w:t>
      </w:r>
      <w:r>
        <w:rPr>
          <w:rFonts w:hint="eastAsia" w:ascii="仿宋" w:hAnsi="仿宋" w:eastAsia="仿宋" w:cs="仿宋"/>
          <w:sz w:val="28"/>
          <w:szCs w:val="28"/>
          <w:lang w:val="en-US" w:eastAsia="zh-CN"/>
        </w:rPr>
        <w:t>4</w:t>
      </w:r>
      <w:r>
        <w:rPr>
          <w:rFonts w:hint="eastAsia" w:ascii="仿宋" w:hAnsi="仿宋" w:eastAsia="仿宋" w:cs="仿宋"/>
          <w:sz w:val="28"/>
          <w:szCs w:val="28"/>
        </w:rPr>
        <w:t>年汛前准备和汛前检查工作的通知》，在4月下旬、5月上旬分两次对高新区、曾都开发区和城区街道办事处的防汛能力建设情况和防汛准备工作进行检查抽查，对发现的问题建立清单，要求责任单位限期整改。完成汛前城区排水管网清淤疏浚工作有效缓解了道路排水不畅、路面积水的现象，为防汛工作打下了坚实基础。</w:t>
      </w:r>
    </w:p>
    <w:p w14:paraId="0FB04B8C">
      <w:pPr>
        <w:pStyle w:val="19"/>
        <w:spacing w:line="240" w:lineRule="auto"/>
        <w:ind w:left="0"/>
        <w:rPr>
          <w:rFonts w:hint="eastAsia" w:ascii="仿宋" w:hAnsi="仿宋" w:eastAsia="仿宋" w:cs="仿宋"/>
          <w:sz w:val="28"/>
          <w:szCs w:val="28"/>
        </w:rPr>
      </w:pPr>
      <w:r>
        <w:rPr>
          <w:rFonts w:hint="eastAsia" w:ascii="仿宋" w:hAnsi="仿宋" w:eastAsia="仿宋" w:cs="仿宋"/>
          <w:sz w:val="28"/>
          <w:szCs w:val="28"/>
        </w:rPr>
        <w:t>本项指标得满分10分。</w:t>
      </w:r>
      <w:bookmarkEnd w:id="0"/>
    </w:p>
    <w:p w14:paraId="6FB7EACA">
      <w:pPr>
        <w:pStyle w:val="19"/>
        <w:spacing w:line="240" w:lineRule="auto"/>
        <w:ind w:left="0"/>
        <w:rPr>
          <w:rFonts w:ascii="仿宋" w:hAnsi="仿宋" w:eastAsia="仿宋" w:cs="仿宋"/>
          <w:b/>
          <w:sz w:val="28"/>
          <w:szCs w:val="28"/>
        </w:rPr>
      </w:pPr>
      <w:r>
        <w:rPr>
          <w:rFonts w:hint="eastAsia" w:ascii="仿宋" w:hAnsi="仿宋" w:eastAsia="仿宋" w:cs="仿宋"/>
          <w:b/>
          <w:sz w:val="28"/>
          <w:szCs w:val="28"/>
        </w:rPr>
        <w:t xml:space="preserve">   ②、隐患排查工作（10分）</w:t>
      </w:r>
    </w:p>
    <w:p w14:paraId="39BFA2ED">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在4月下旬、5月上旬分两次对高新区、曾都开发区和城区街道办事处的防汛能力建设情况和防汛准备工作进行检查抽查，对发现问题建立清单，要求责任单位限期整改。</w:t>
      </w:r>
    </w:p>
    <w:p w14:paraId="07C9A517">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本项指标得满分10分。</w:t>
      </w:r>
    </w:p>
    <w:p w14:paraId="5084D3FE">
      <w:pPr>
        <w:pStyle w:val="19"/>
        <w:spacing w:line="240" w:lineRule="auto"/>
        <w:ind w:left="0"/>
        <w:rPr>
          <w:rFonts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 xml:space="preserve">  ③、运用智慧管控,实时掌握雨汛雨情（10分）</w:t>
      </w:r>
    </w:p>
    <w:p w14:paraId="14C44037">
      <w:pPr>
        <w:pStyle w:val="19"/>
        <w:spacing w:line="240" w:lineRule="auto"/>
        <w:ind w:left="0" w:firstLine="560"/>
        <w:rPr>
          <w:rFonts w:hint="eastAsia" w:ascii="仿宋" w:hAnsi="仿宋" w:eastAsia="仿宋" w:cs="仿宋"/>
          <w:sz w:val="28"/>
          <w:szCs w:val="28"/>
        </w:rPr>
      </w:pPr>
      <w:r>
        <w:rPr>
          <w:rFonts w:hint="eastAsia" w:ascii="仿宋" w:hAnsi="仿宋" w:eastAsia="仿宋" w:cs="仿宋"/>
          <w:sz w:val="28"/>
          <w:szCs w:val="28"/>
        </w:rPr>
        <w:t>利用好12379气象预警和充分发挥GIS排水设施信息化管理系统功能，及时掌握雨期汛情，实时监控内河和易涝点处排水设施，观测当前水位情况及时发现问题、研判风险、主动出击，通过补光措施，增强夜间应急指挥的可感知性，实现了一屏统览、一体联动，为城区防汛工作科技赋能。</w:t>
      </w:r>
    </w:p>
    <w:p w14:paraId="1ACD4AB1">
      <w:pPr>
        <w:pStyle w:val="19"/>
        <w:spacing w:line="240" w:lineRule="auto"/>
        <w:ind w:left="0" w:firstLine="560"/>
        <w:rPr>
          <w:rFonts w:hint="eastAsia" w:ascii="仿宋" w:hAnsi="仿宋" w:eastAsia="仿宋" w:cs="仿宋"/>
          <w:sz w:val="28"/>
          <w:szCs w:val="28"/>
        </w:rPr>
      </w:pPr>
      <w:r>
        <w:rPr>
          <w:rFonts w:hint="eastAsia" w:ascii="仿宋" w:hAnsi="仿宋" w:eastAsia="仿宋" w:cs="仿宋"/>
          <w:sz w:val="28"/>
          <w:szCs w:val="28"/>
        </w:rPr>
        <w:t>本项指标得满分10分。</w:t>
      </w:r>
    </w:p>
    <w:p w14:paraId="7CE22D0F">
      <w:pPr>
        <w:pStyle w:val="19"/>
        <w:spacing w:line="240" w:lineRule="auto"/>
        <w:ind w:left="0"/>
        <w:rPr>
          <w:rFonts w:ascii="仿宋" w:hAnsi="仿宋" w:eastAsia="仿宋" w:cs="仿宋"/>
          <w:b/>
          <w:sz w:val="28"/>
          <w:szCs w:val="28"/>
        </w:rPr>
      </w:pPr>
      <w:r>
        <w:rPr>
          <w:rFonts w:hint="eastAsia" w:ascii="仿宋" w:hAnsi="仿宋" w:eastAsia="仿宋" w:cs="仿宋"/>
          <w:b/>
          <w:sz w:val="28"/>
          <w:szCs w:val="28"/>
        </w:rPr>
        <w:t>4、社会效应（30分）</w:t>
      </w:r>
    </w:p>
    <w:p w14:paraId="315240B0">
      <w:pPr>
        <w:pStyle w:val="19"/>
        <w:spacing w:line="240" w:lineRule="auto"/>
        <w:ind w:left="0"/>
        <w:rPr>
          <w:rFonts w:ascii="仿宋" w:hAnsi="仿宋" w:eastAsia="仿宋" w:cs="仿宋"/>
          <w:sz w:val="28"/>
          <w:szCs w:val="28"/>
        </w:rPr>
      </w:pPr>
      <w:r>
        <w:rPr>
          <w:rFonts w:hint="eastAsia" w:ascii="仿宋" w:hAnsi="仿宋" w:eastAsia="仿宋" w:cs="仿宋"/>
          <w:sz w:val="28"/>
          <w:szCs w:val="28"/>
        </w:rPr>
        <w:t xml:space="preserve">   ①、经济效益（10分）</w:t>
      </w:r>
    </w:p>
    <w:p w14:paraId="29B76256">
      <w:pPr>
        <w:pStyle w:val="19"/>
        <w:spacing w:line="240" w:lineRule="auto"/>
        <w:ind w:left="0" w:firstLine="560"/>
        <w:rPr>
          <w:rFonts w:hint="eastAsia" w:ascii="仿宋" w:hAnsi="仿宋" w:eastAsia="仿宋" w:cs="仿宋"/>
          <w:sz w:val="28"/>
          <w:szCs w:val="28"/>
        </w:rPr>
      </w:pPr>
      <w:r>
        <w:rPr>
          <w:rFonts w:hint="eastAsia" w:ascii="仿宋" w:hAnsi="仿宋" w:eastAsia="仿宋" w:cs="仿宋"/>
          <w:sz w:val="28"/>
          <w:szCs w:val="28"/>
        </w:rPr>
        <w:t>储备防汛物资,提供应急保障。 按照“宁可备而不用，不可用而无备”的原则，申请20万元年度防汛经费，累计储备了排水泵8台、砂石料384立方、机械设备20台套、编织袋3.2万条、应急照明灯240个、铁锹700把，全部落实了管理人员和储存地点，并对发电机组、灯具、大功率排涝泵等设备工具进行维护调试，确保“随时能取、来之能用”的工作状态。极大的保障了人民群众的生命财产安全。</w:t>
      </w:r>
    </w:p>
    <w:p w14:paraId="48C5D639">
      <w:pPr>
        <w:pStyle w:val="19"/>
        <w:spacing w:line="240" w:lineRule="auto"/>
        <w:ind w:left="0" w:firstLine="560"/>
        <w:rPr>
          <w:rFonts w:hint="eastAsia" w:ascii="仿宋" w:hAnsi="仿宋" w:eastAsia="仿宋" w:cs="仿宋"/>
          <w:sz w:val="28"/>
          <w:szCs w:val="28"/>
        </w:rPr>
      </w:pPr>
      <w:r>
        <w:rPr>
          <w:rFonts w:hint="eastAsia" w:ascii="仿宋" w:hAnsi="仿宋" w:eastAsia="仿宋" w:cs="仿宋"/>
          <w:sz w:val="28"/>
          <w:szCs w:val="28"/>
        </w:rPr>
        <w:t>本项指标得满分10分。</w:t>
      </w:r>
    </w:p>
    <w:p w14:paraId="1D0645F0">
      <w:pPr>
        <w:pStyle w:val="19"/>
        <w:spacing w:line="240" w:lineRule="auto"/>
        <w:ind w:left="0"/>
        <w:rPr>
          <w:rFonts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 xml:space="preserve">  ②、社会效益（10分）</w:t>
      </w:r>
    </w:p>
    <w:p w14:paraId="44CB27BB">
      <w:pPr>
        <w:pStyle w:val="19"/>
        <w:spacing w:line="240" w:lineRule="auto"/>
        <w:ind w:left="0" w:firstLine="560"/>
        <w:rPr>
          <w:rFonts w:hint="eastAsia" w:ascii="仿宋" w:hAnsi="仿宋" w:eastAsia="仿宋" w:cs="仿宋"/>
          <w:sz w:val="28"/>
          <w:szCs w:val="28"/>
        </w:rPr>
      </w:pPr>
      <w:r>
        <w:rPr>
          <w:rFonts w:hint="eastAsia" w:ascii="仿宋" w:hAnsi="仿宋" w:eastAsia="仿宋" w:cs="仿宋"/>
          <w:sz w:val="28"/>
          <w:szCs w:val="28"/>
        </w:rPr>
        <w:t>城区易涝点整治。完成汛前城区排水管网清淤疏浚工作，有效缓解了道路排水不畅、路面积水的现象，为防汛工作打下了坚实基础，保障人民群众出行安全。</w:t>
      </w:r>
    </w:p>
    <w:p w14:paraId="009E731B">
      <w:pPr>
        <w:pStyle w:val="19"/>
        <w:spacing w:line="240" w:lineRule="auto"/>
        <w:ind w:left="0" w:firstLine="560"/>
        <w:rPr>
          <w:rFonts w:hint="eastAsia" w:ascii="仿宋" w:hAnsi="仿宋" w:eastAsia="仿宋" w:cs="仿宋"/>
          <w:sz w:val="28"/>
          <w:szCs w:val="28"/>
        </w:rPr>
      </w:pPr>
      <w:r>
        <w:rPr>
          <w:rFonts w:hint="eastAsia" w:ascii="仿宋" w:hAnsi="仿宋" w:eastAsia="仿宋" w:cs="仿宋"/>
          <w:sz w:val="28"/>
          <w:szCs w:val="28"/>
        </w:rPr>
        <w:t>本项指标得满分10分。</w:t>
      </w:r>
    </w:p>
    <w:p w14:paraId="2FADCDDB">
      <w:pPr>
        <w:pStyle w:val="19"/>
        <w:spacing w:line="240" w:lineRule="auto"/>
        <w:ind w:left="0" w:firstLine="560"/>
        <w:rPr>
          <w:rFonts w:hint="eastAsia" w:ascii="仿宋" w:hAnsi="仿宋" w:eastAsia="仿宋" w:cs="仿宋"/>
          <w:sz w:val="28"/>
          <w:szCs w:val="28"/>
        </w:rPr>
      </w:pPr>
      <w:r>
        <w:rPr>
          <w:rFonts w:hint="eastAsia" w:ascii="仿宋" w:hAnsi="仿宋" w:eastAsia="仿宋" w:cs="仿宋"/>
          <w:sz w:val="28"/>
          <w:szCs w:val="28"/>
        </w:rPr>
        <w:t>③、生态效益（10分）</w:t>
      </w:r>
    </w:p>
    <w:p w14:paraId="288EE452">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保持污水排放监管规范化,实现再生资源综合利用。落实源头管控，严格执行一湖两岸污水控源截污整治目标，对整治完成后的82个入河排口，安排专人定岗巡查，确保两岸生活污水全部收集入网、进厂处理。加强对随州市污水处理厂、城南污水处理厂、污泥无害化项目设施安全运行的监督管理，运用GLS系统将两座污水处理厂、5座污水提升泵站的运行数据与中控室连接，落实两座污水处理厂进水水质在线监测数据管理。加强污水处理工作现场检查力度，适时掌握设施运行情况，合理调度、动态管控城区和城南集污干管进水量，对进出水水质和污泥泥质进行检测，及时指导污水处理厂尾水达标排放，确保污水处理厂安全平稳运行。</w:t>
      </w:r>
    </w:p>
    <w:p w14:paraId="37D2CF58">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本项指标得满分10分。</w:t>
      </w:r>
    </w:p>
    <w:p w14:paraId="746B8B73">
      <w:pPr>
        <w:pStyle w:val="19"/>
        <w:spacing w:line="240" w:lineRule="auto"/>
        <w:ind w:left="0"/>
        <w:rPr>
          <w:rFonts w:ascii="仿宋" w:hAnsi="仿宋" w:eastAsia="仿宋" w:cs="仿宋"/>
          <w:b/>
          <w:sz w:val="28"/>
          <w:szCs w:val="28"/>
        </w:rPr>
      </w:pPr>
      <w:r>
        <w:rPr>
          <w:rFonts w:hint="eastAsia" w:ascii="仿宋" w:hAnsi="仿宋" w:eastAsia="仿宋" w:cs="仿宋"/>
          <w:b/>
          <w:sz w:val="28"/>
          <w:szCs w:val="28"/>
        </w:rPr>
        <w:t>5、可持续创新能力（6分）</w:t>
      </w:r>
    </w:p>
    <w:p w14:paraId="3C8AB0CB">
      <w:pPr>
        <w:pStyle w:val="19"/>
        <w:spacing w:line="240" w:lineRule="auto"/>
        <w:ind w:left="0"/>
        <w:rPr>
          <w:rFonts w:ascii="仿宋" w:hAnsi="仿宋" w:eastAsia="仿宋" w:cs="仿宋"/>
          <w:sz w:val="28"/>
          <w:szCs w:val="28"/>
        </w:rPr>
      </w:pPr>
      <w:r>
        <w:rPr>
          <w:rFonts w:hint="eastAsia" w:ascii="仿宋" w:hAnsi="仿宋" w:eastAsia="仿宋" w:cs="仿宋"/>
          <w:sz w:val="28"/>
          <w:szCs w:val="28"/>
        </w:rPr>
        <w:t xml:space="preserve">   ①、 服务体制机制改革（2分）</w:t>
      </w:r>
    </w:p>
    <w:p w14:paraId="0C377218">
      <w:pPr>
        <w:ind w:firstLine="600"/>
        <w:rPr>
          <w:rFonts w:eastAsia="仿宋"/>
          <w:sz w:val="30"/>
          <w:szCs w:val="30"/>
        </w:rPr>
      </w:pPr>
      <w:r>
        <w:rPr>
          <w:rFonts w:hint="eastAsia" w:ascii="仿宋_GB2312" w:hAnsi="仿宋_GB2312" w:eastAsia="仿宋_GB2312" w:cs="仿宋_GB2312"/>
          <w:sz w:val="30"/>
          <w:szCs w:val="30"/>
        </w:rPr>
        <w:t>认真落实窗口工作</w:t>
      </w:r>
      <w:r>
        <w:rPr>
          <w:rFonts w:eastAsia="仿宋"/>
          <w:sz w:val="30"/>
          <w:szCs w:val="30"/>
        </w:rPr>
        <w:t>树形象、熟业务、明程序</w:t>
      </w:r>
      <w:r>
        <w:rPr>
          <w:rFonts w:hint="eastAsia" w:eastAsia="仿宋"/>
          <w:sz w:val="30"/>
          <w:szCs w:val="30"/>
        </w:rPr>
        <w:t>的工作要求，为市民提供便捷高效的办件服务，市民满意率实现100%。积极践行“下察解暖”活动。深入到企业、社区、排水户等服务对象了解排水问题、矛盾、堵点，积极沟通、多方协调，主动作为的工作作风多次受到市民的好评。严格监管，规范排水建设和排放行为</w:t>
      </w:r>
      <w:r>
        <w:rPr>
          <w:rFonts w:hint="eastAsia" w:eastAsia="仿宋"/>
          <w:sz w:val="30"/>
          <w:szCs w:val="30"/>
          <w:lang w:eastAsia="zh-CN"/>
        </w:rPr>
        <w:t>，</w:t>
      </w:r>
      <w:r>
        <w:rPr>
          <w:rFonts w:hint="eastAsia" w:eastAsia="仿宋"/>
          <w:sz w:val="30"/>
          <w:szCs w:val="30"/>
        </w:rPr>
        <w:t>从源头进行管控，确保达标排放。“八五”普法稳步推进</w:t>
      </w:r>
      <w:r>
        <w:rPr>
          <w:rFonts w:hint="eastAsia" w:eastAsia="仿宋"/>
          <w:sz w:val="30"/>
          <w:szCs w:val="30"/>
          <w:lang w:eastAsia="zh-CN"/>
        </w:rPr>
        <w:t>，</w:t>
      </w:r>
      <w:r>
        <w:rPr>
          <w:rFonts w:hint="eastAsia" w:eastAsia="仿宋"/>
          <w:sz w:val="30"/>
          <w:szCs w:val="30"/>
        </w:rPr>
        <w:t>积极开展排水法规“进社区、进企业”活动，推进政商互动，构</w:t>
      </w:r>
      <w:r>
        <w:rPr>
          <w:rFonts w:ascii="仿宋_GB2312" w:hAnsi="仿宋_GB2312" w:eastAsia="仿宋_GB2312" w:cs="仿宋_GB2312"/>
          <w:sz w:val="30"/>
          <w:szCs w:val="30"/>
        </w:rPr>
        <w:t>建良好排水监管营商环境。</w:t>
      </w:r>
      <w:r>
        <w:rPr>
          <w:rFonts w:hint="eastAsia" w:ascii="仿宋_GB2312" w:hAnsi="仿宋_GB2312" w:eastAsia="仿宋_GB2312" w:cs="仿宋_GB2312"/>
          <w:sz w:val="30"/>
          <w:szCs w:val="30"/>
        </w:rPr>
        <w:t>利用“4.22”世界法律日、“5. 12”防灾减灾日、“6.5” 世界环境日等契机，向市民发放宣传册页百余份，扩大社会公众对排水工作的认知度、支持度。</w:t>
      </w:r>
    </w:p>
    <w:p w14:paraId="0EAB18AD">
      <w:pPr>
        <w:ind w:firstLine="560"/>
        <w:rPr>
          <w:rFonts w:ascii="仿宋" w:hAnsi="仿宋" w:eastAsia="仿宋" w:cs="仿宋"/>
          <w:sz w:val="28"/>
          <w:szCs w:val="28"/>
        </w:rPr>
      </w:pPr>
      <w:r>
        <w:rPr>
          <w:rFonts w:hint="eastAsia" w:ascii="仿宋" w:hAnsi="仿宋" w:eastAsia="仿宋" w:cs="仿宋"/>
          <w:sz w:val="28"/>
          <w:szCs w:val="28"/>
        </w:rPr>
        <w:t>本项指标得满分2分</w:t>
      </w:r>
    </w:p>
    <w:p w14:paraId="0B515378">
      <w:pPr>
        <w:pStyle w:val="19"/>
        <w:spacing w:line="240" w:lineRule="auto"/>
        <w:ind w:left="0"/>
        <w:rPr>
          <w:rFonts w:ascii="仿宋" w:hAnsi="仿宋" w:eastAsia="仿宋" w:cs="仿宋"/>
          <w:sz w:val="28"/>
          <w:szCs w:val="28"/>
        </w:rPr>
      </w:pPr>
      <w:r>
        <w:rPr>
          <w:rFonts w:hint="eastAsia" w:ascii="仿宋" w:hAnsi="仿宋" w:eastAsia="仿宋" w:cs="仿宋"/>
          <w:sz w:val="28"/>
          <w:szCs w:val="28"/>
        </w:rPr>
        <w:t xml:space="preserve">   ②、业务学习与培训（2分）</w:t>
      </w:r>
    </w:p>
    <w:p w14:paraId="75FFADB3">
      <w:pPr>
        <w:pStyle w:val="19"/>
        <w:spacing w:line="240" w:lineRule="auto"/>
        <w:ind w:left="0"/>
        <w:rPr>
          <w:rFonts w:ascii="仿宋_GB2312" w:hAnsi="仿宋_GB2312" w:cs="仿宋_GB2312"/>
          <w:sz w:val="30"/>
          <w:szCs w:val="30"/>
        </w:rPr>
      </w:pPr>
      <w:r>
        <w:rPr>
          <w:rFonts w:hint="eastAsia" w:ascii="仿宋_GB2312" w:hAnsi="仿宋_GB2312" w:cs="仿宋_GB2312"/>
          <w:sz w:val="30"/>
          <w:szCs w:val="30"/>
        </w:rPr>
        <w:t xml:space="preserve">    组织全体党员集体观看警示片，举行警示教育短训班，开展了党支部成员讲党课、党员分享清廉故事、格言警句、学习典型案例、签订家庭助廉承诺书、党规法纪知识测试、参观廉政文化教育基地，提高党员干部拒腐防变能力。随州市城市防洪排水事业发展中心在市住建局党组的正确领导下，坚持以习近平新时代中国特色社会主义思想为指导，深入学习贯彻党的二十大精神和省第十二次党代会决策部署，紧紧围绕打造城乡融合发展示范区和花园城市建设目标，砥砺奋进、务实笃行，着力以城市更新改造为切入点，以提升管理能效为着力点，以坚持为民服务为落脚点，实现了城区排水事业发展蓬勃向上的良好局面。</w:t>
      </w:r>
    </w:p>
    <w:p w14:paraId="4ACEF30B">
      <w:pPr>
        <w:ind w:firstLine="560"/>
        <w:rPr>
          <w:rFonts w:ascii="仿宋" w:hAnsi="仿宋" w:eastAsia="仿宋" w:cs="仿宋"/>
          <w:sz w:val="28"/>
          <w:szCs w:val="28"/>
        </w:rPr>
      </w:pPr>
      <w:r>
        <w:rPr>
          <w:rFonts w:hint="eastAsia" w:ascii="仿宋" w:hAnsi="仿宋" w:eastAsia="仿宋" w:cs="仿宋"/>
          <w:sz w:val="28"/>
          <w:szCs w:val="28"/>
        </w:rPr>
        <w:t>本项指标得满分2分</w:t>
      </w:r>
    </w:p>
    <w:p w14:paraId="2D37A352">
      <w:pPr>
        <w:pStyle w:val="19"/>
        <w:spacing w:line="240" w:lineRule="auto"/>
        <w:ind w:left="0"/>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fldChar w:fldCharType="begin"/>
      </w:r>
      <w:r>
        <w:rPr>
          <w:rFonts w:ascii="仿宋" w:hAnsi="仿宋" w:eastAsia="仿宋" w:cs="仿宋"/>
          <w:sz w:val="28"/>
          <w:szCs w:val="28"/>
        </w:rPr>
        <w:instrText xml:space="preserve"> </w:instrText>
      </w:r>
      <w:r>
        <w:rPr>
          <w:rFonts w:hint="eastAsia" w:ascii="仿宋" w:hAnsi="仿宋" w:eastAsia="仿宋" w:cs="仿宋"/>
          <w:sz w:val="28"/>
          <w:szCs w:val="28"/>
        </w:rPr>
        <w:instrText xml:space="preserve">= 3 \* GB3</w:instrText>
      </w:r>
      <w:r>
        <w:rPr>
          <w:rFonts w:ascii="仿宋" w:hAnsi="仿宋" w:eastAsia="仿宋" w:cs="仿宋"/>
          <w:sz w:val="28"/>
          <w:szCs w:val="28"/>
        </w:rPr>
        <w:instrText xml:space="preserve"> </w:instrText>
      </w:r>
      <w:r>
        <w:rPr>
          <w:rFonts w:ascii="仿宋" w:hAnsi="仿宋" w:eastAsia="仿宋" w:cs="仿宋"/>
          <w:sz w:val="28"/>
          <w:szCs w:val="28"/>
        </w:rPr>
        <w:fldChar w:fldCharType="separate"/>
      </w:r>
      <w:r>
        <w:rPr>
          <w:rFonts w:hint="eastAsia" w:ascii="仿宋" w:hAnsi="仿宋" w:eastAsia="仿宋" w:cs="仿宋"/>
          <w:sz w:val="28"/>
          <w:szCs w:val="28"/>
        </w:rPr>
        <w:t>③</w:t>
      </w:r>
      <w:r>
        <w:rPr>
          <w:rFonts w:ascii="仿宋" w:hAnsi="仿宋" w:eastAsia="仿宋" w:cs="仿宋"/>
          <w:sz w:val="28"/>
          <w:szCs w:val="28"/>
        </w:rPr>
        <w:fldChar w:fldCharType="end"/>
      </w:r>
      <w:r>
        <w:rPr>
          <w:rFonts w:hint="eastAsia" w:ascii="仿宋" w:hAnsi="仿宋" w:eastAsia="仿宋" w:cs="仿宋"/>
          <w:sz w:val="28"/>
          <w:szCs w:val="28"/>
        </w:rPr>
        <w:t>、信息化建设情况（2分）</w:t>
      </w:r>
    </w:p>
    <w:p w14:paraId="65D0EBAC">
      <w:pPr>
        <w:pStyle w:val="19"/>
        <w:spacing w:line="240" w:lineRule="auto"/>
        <w:ind w:left="0"/>
        <w:rPr>
          <w:rFonts w:hint="eastAsia" w:ascii="仿宋_GB2312" w:hAnsi="仿宋_GB2312" w:cs="仿宋_GB2312"/>
          <w:sz w:val="30"/>
          <w:szCs w:val="30"/>
        </w:rPr>
      </w:pPr>
      <w:r>
        <w:rPr>
          <w:rFonts w:hint="eastAsia" w:ascii="仿宋_GB2312" w:hAnsi="仿宋_GB2312" w:cs="仿宋_GB2312"/>
          <w:sz w:val="30"/>
          <w:szCs w:val="30"/>
        </w:rPr>
        <w:t xml:space="preserve">   运用智慧管控，筑牢科技防线，利用好12379气象预警和充分发挥GIS排水设施信息化管理系统功能，及时掌握雨期汛情，实时监控内河和易涝点处排水设施，观测当前水位情况及时发现问题、研判风险、主动出击，通过补光措施，增强夜间应急指挥的可感知性，实现了一屏统览、一体联动，为城区防汛工作科技赋能。 </w:t>
      </w:r>
    </w:p>
    <w:p w14:paraId="577330B5">
      <w:pPr>
        <w:pStyle w:val="19"/>
        <w:spacing w:line="240" w:lineRule="auto"/>
        <w:ind w:left="0"/>
        <w:rPr>
          <w:rFonts w:hint="eastAsia" w:ascii="仿宋_GB2312" w:hAnsi="仿宋_GB2312" w:cs="仿宋_GB2312"/>
          <w:sz w:val="30"/>
          <w:szCs w:val="30"/>
        </w:rPr>
      </w:pPr>
      <w:r>
        <w:rPr>
          <w:rFonts w:hint="eastAsia" w:ascii="仿宋_GB2312" w:hAnsi="仿宋_GB2312" w:cs="仿宋_GB2312"/>
          <w:sz w:val="30"/>
          <w:szCs w:val="30"/>
        </w:rPr>
        <w:t>本项指标得满分2分</w:t>
      </w:r>
    </w:p>
    <w:p w14:paraId="4B1DDC29">
      <w:pPr>
        <w:pStyle w:val="19"/>
        <w:spacing w:line="240" w:lineRule="auto"/>
        <w:ind w:left="0"/>
        <w:rPr>
          <w:rFonts w:ascii="仿宋" w:hAnsi="仿宋" w:eastAsia="仿宋" w:cs="仿宋"/>
          <w:sz w:val="28"/>
          <w:szCs w:val="28"/>
        </w:rPr>
      </w:pPr>
      <w:r>
        <w:rPr>
          <w:rFonts w:hint="eastAsia" w:ascii="仿宋" w:hAnsi="仿宋" w:eastAsia="仿宋" w:cs="仿宋"/>
          <w:sz w:val="28"/>
          <w:szCs w:val="28"/>
        </w:rPr>
        <w:t xml:space="preserve"> 6、服务满意度（4分）</w:t>
      </w:r>
    </w:p>
    <w:p w14:paraId="56EDAC41">
      <w:pPr>
        <w:pStyle w:val="19"/>
        <w:spacing w:line="240" w:lineRule="auto"/>
        <w:ind w:left="0"/>
        <w:rPr>
          <w:rFonts w:ascii="仿宋" w:hAnsi="仿宋" w:eastAsia="仿宋" w:cs="仿宋"/>
          <w:sz w:val="28"/>
          <w:szCs w:val="28"/>
        </w:rPr>
      </w:pPr>
      <w:r>
        <w:rPr>
          <w:rFonts w:hint="eastAsia" w:ascii="仿宋" w:hAnsi="仿宋" w:eastAsia="仿宋" w:cs="仿宋"/>
          <w:sz w:val="28"/>
          <w:szCs w:val="28"/>
        </w:rPr>
        <w:t xml:space="preserve">   </w:t>
      </w:r>
      <w:r>
        <w:rPr>
          <w:rFonts w:hint="eastAsia" w:ascii="黑体" w:hAnsi="黑体" w:eastAsia="黑体"/>
          <w:sz w:val="30"/>
          <w:szCs w:val="30"/>
        </w:rPr>
        <w:t>“</w:t>
      </w:r>
      <w:r>
        <w:rPr>
          <w:rFonts w:hint="eastAsia" w:ascii="仿宋_GB2312" w:hAnsi="仿宋_GB2312" w:cs="仿宋_GB2312"/>
          <w:sz w:val="30"/>
          <w:szCs w:val="30"/>
        </w:rPr>
        <w:t>优化营商环境理念，增强涉企服务思维”。深化</w:t>
      </w:r>
      <w:r>
        <w:rPr>
          <w:rFonts w:ascii="仿宋_GB2312" w:hAnsi="仿宋_GB2312" w:cs="仿宋_GB2312"/>
          <w:sz w:val="30"/>
          <w:szCs w:val="30"/>
        </w:rPr>
        <w:t>“双随机、一公开”执法检查和“互联网+监管”系统实施</w:t>
      </w:r>
      <w:r>
        <w:rPr>
          <w:rFonts w:hint="eastAsia" w:ascii="仿宋_GB2312" w:hAnsi="仿宋_GB2312" w:cs="仿宋_GB2312"/>
          <w:sz w:val="30"/>
          <w:szCs w:val="30"/>
        </w:rPr>
        <w:t>，推进执法行为进一步规范、透明、公正。政务窗口服务优质高效。认真落实窗口工作</w:t>
      </w:r>
      <w:r>
        <w:rPr>
          <w:rFonts w:eastAsia="仿宋"/>
          <w:sz w:val="30"/>
          <w:szCs w:val="30"/>
        </w:rPr>
        <w:t>树形象、熟业务、明程序</w:t>
      </w:r>
      <w:r>
        <w:rPr>
          <w:rFonts w:hint="eastAsia" w:eastAsia="仿宋"/>
          <w:sz w:val="30"/>
          <w:szCs w:val="30"/>
        </w:rPr>
        <w:t>的工作要求，为市民提供便捷高效的办件服务。积极践行“下察解暖”活动。深入到企业、社区、排水户等服务对象了解排水问题、矛盾、堵点，积极沟通、多方协调，主动作为的工作作风多次受到市民的好评。</w:t>
      </w:r>
    </w:p>
    <w:p w14:paraId="2E6F006E">
      <w:pPr>
        <w:ind w:firstLine="560"/>
        <w:rPr>
          <w:rFonts w:ascii="仿宋" w:hAnsi="仿宋" w:eastAsia="仿宋" w:cs="仿宋"/>
          <w:sz w:val="28"/>
          <w:szCs w:val="28"/>
        </w:rPr>
      </w:pPr>
      <w:r>
        <w:rPr>
          <w:rFonts w:hint="eastAsia" w:ascii="仿宋" w:hAnsi="仿宋" w:eastAsia="仿宋" w:cs="仿宋"/>
          <w:sz w:val="28"/>
          <w:szCs w:val="28"/>
        </w:rPr>
        <w:t>本项指标得满分</w:t>
      </w:r>
      <w:r>
        <w:rPr>
          <w:rFonts w:hint="eastAsia" w:ascii="仿宋" w:hAnsi="仿宋" w:eastAsia="仿宋" w:cs="仿宋"/>
          <w:sz w:val="28"/>
          <w:szCs w:val="28"/>
          <w:lang w:val="en-US" w:eastAsia="zh-CN"/>
        </w:rPr>
        <w:t>4</w:t>
      </w:r>
      <w:r>
        <w:rPr>
          <w:rFonts w:hint="eastAsia" w:ascii="仿宋" w:hAnsi="仿宋" w:eastAsia="仿宋" w:cs="仿宋"/>
          <w:sz w:val="28"/>
          <w:szCs w:val="28"/>
        </w:rPr>
        <w:t>分</w:t>
      </w:r>
    </w:p>
    <w:p w14:paraId="6D2A9964">
      <w:pPr>
        <w:pStyle w:val="19"/>
        <w:spacing w:line="240" w:lineRule="auto"/>
        <w:ind w:left="0"/>
        <w:rPr>
          <w:rFonts w:ascii="仿宋" w:hAnsi="仿宋" w:eastAsia="仿宋" w:cs="仿宋"/>
          <w:bCs/>
          <w:sz w:val="28"/>
          <w:szCs w:val="28"/>
        </w:rPr>
      </w:pPr>
      <w:r>
        <w:rPr>
          <w:rFonts w:hint="eastAsia" w:ascii="仿宋" w:hAnsi="仿宋" w:eastAsia="仿宋" w:cs="仿宋"/>
          <w:bCs/>
          <w:sz w:val="28"/>
          <w:szCs w:val="28"/>
        </w:rPr>
        <w:t>7、绩效目标完成情况分析。</w:t>
      </w:r>
    </w:p>
    <w:p w14:paraId="7BF963A7">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根据绩效目标评分标准统计：运行成本，评价得</w:t>
      </w:r>
      <w:r>
        <w:rPr>
          <w:rFonts w:hint="eastAsia" w:ascii="仿宋" w:hAnsi="仿宋" w:eastAsia="仿宋" w:cs="仿宋"/>
          <w:sz w:val="28"/>
          <w:szCs w:val="28"/>
          <w:lang w:val="en-US" w:eastAsia="zh-CN"/>
        </w:rPr>
        <w:t>6</w:t>
      </w:r>
      <w:r>
        <w:rPr>
          <w:rFonts w:hint="eastAsia" w:ascii="仿宋" w:hAnsi="仿宋" w:eastAsia="仿宋" w:cs="仿宋"/>
          <w:sz w:val="28"/>
          <w:szCs w:val="28"/>
        </w:rPr>
        <w:t>分；管理效率，评价得1</w:t>
      </w:r>
      <w:r>
        <w:rPr>
          <w:rFonts w:hint="eastAsia" w:ascii="仿宋" w:hAnsi="仿宋" w:eastAsia="仿宋" w:cs="仿宋"/>
          <w:sz w:val="28"/>
          <w:szCs w:val="28"/>
          <w:lang w:val="en-US" w:eastAsia="zh-CN"/>
        </w:rPr>
        <w:t>8</w:t>
      </w:r>
      <w:r>
        <w:rPr>
          <w:rFonts w:hint="eastAsia" w:ascii="仿宋" w:hAnsi="仿宋" w:eastAsia="仿宋" w:cs="仿宋"/>
          <w:sz w:val="28"/>
          <w:szCs w:val="28"/>
        </w:rPr>
        <w:t>分；履职效能，评价得30分；社会效益，评价得30分；持续创新能力，评价得6分；服务对象满意度，评价得</w:t>
      </w:r>
      <w:r>
        <w:rPr>
          <w:rFonts w:hint="eastAsia" w:ascii="仿宋" w:hAnsi="仿宋" w:eastAsia="仿宋" w:cs="仿宋"/>
          <w:sz w:val="28"/>
          <w:szCs w:val="28"/>
          <w:lang w:val="en-US" w:eastAsia="zh-CN"/>
        </w:rPr>
        <w:t>6</w:t>
      </w:r>
      <w:r>
        <w:rPr>
          <w:rFonts w:hint="eastAsia" w:ascii="仿宋" w:hAnsi="仿宋" w:eastAsia="仿宋" w:cs="仿宋"/>
          <w:sz w:val="28"/>
          <w:szCs w:val="28"/>
        </w:rPr>
        <w:t>分；综合绩效评价“优”，总得9</w:t>
      </w:r>
      <w:r>
        <w:rPr>
          <w:rFonts w:hint="eastAsia" w:ascii="仿宋" w:hAnsi="仿宋" w:eastAsia="仿宋" w:cs="仿宋"/>
          <w:sz w:val="28"/>
          <w:szCs w:val="28"/>
          <w:lang w:val="en-US" w:eastAsia="zh-CN"/>
        </w:rPr>
        <w:t>4</w:t>
      </w:r>
      <w:r>
        <w:rPr>
          <w:rFonts w:hint="eastAsia" w:ascii="仿宋" w:hAnsi="仿宋" w:eastAsia="仿宋" w:cs="仿宋"/>
          <w:sz w:val="28"/>
          <w:szCs w:val="28"/>
        </w:rPr>
        <w:t>分。</w:t>
      </w:r>
    </w:p>
    <w:p w14:paraId="46EDC358">
      <w:pPr>
        <w:pStyle w:val="19"/>
        <w:spacing w:line="240" w:lineRule="auto"/>
        <w:ind w:left="0"/>
        <w:rPr>
          <w:rFonts w:ascii="仿宋" w:hAnsi="仿宋" w:eastAsia="仿宋" w:cs="仿宋"/>
          <w:sz w:val="28"/>
          <w:szCs w:val="28"/>
        </w:rPr>
      </w:pPr>
      <w:r>
        <w:rPr>
          <w:rFonts w:hint="eastAsia" w:ascii="仿宋" w:hAnsi="仿宋" w:eastAsia="仿宋" w:cs="仿宋"/>
          <w:sz w:val="28"/>
          <w:szCs w:val="28"/>
        </w:rPr>
        <w:t>1、评分结果</w:t>
      </w:r>
    </w:p>
    <w:p w14:paraId="7573723A">
      <w:pPr>
        <w:pStyle w:val="19"/>
        <w:spacing w:line="240" w:lineRule="auto"/>
        <w:ind w:left="0"/>
        <w:rPr>
          <w:rFonts w:ascii="仿宋" w:hAnsi="仿宋" w:eastAsia="仿宋" w:cs="仿宋"/>
          <w:sz w:val="28"/>
          <w:szCs w:val="28"/>
        </w:rPr>
      </w:pPr>
      <w:r>
        <w:rPr>
          <w:rFonts w:hint="eastAsia" w:ascii="仿宋" w:hAnsi="仿宋" w:eastAsia="仿宋" w:cs="仿宋"/>
          <w:sz w:val="28"/>
          <w:szCs w:val="28"/>
        </w:rPr>
        <w:t>评价指标</w:t>
      </w:r>
      <w:r>
        <w:rPr>
          <w:rFonts w:hint="eastAsia" w:ascii="仿宋" w:hAnsi="仿宋" w:eastAsia="仿宋" w:cs="仿宋"/>
          <w:sz w:val="28"/>
          <w:szCs w:val="28"/>
        </w:rPr>
        <w:tab/>
      </w:r>
      <w:r>
        <w:rPr>
          <w:rFonts w:hint="eastAsia" w:ascii="仿宋" w:hAnsi="仿宋" w:eastAsia="仿宋" w:cs="仿宋"/>
          <w:sz w:val="28"/>
          <w:szCs w:val="28"/>
        </w:rPr>
        <w:t>权重</w:t>
      </w:r>
      <w:r>
        <w:rPr>
          <w:rFonts w:hint="eastAsia" w:ascii="仿宋" w:hAnsi="仿宋" w:eastAsia="仿宋" w:cs="仿宋"/>
          <w:sz w:val="28"/>
          <w:szCs w:val="28"/>
        </w:rPr>
        <w:tab/>
      </w:r>
      <w:r>
        <w:rPr>
          <w:rFonts w:hint="eastAsia" w:ascii="仿宋" w:hAnsi="仿宋" w:eastAsia="仿宋" w:cs="仿宋"/>
          <w:sz w:val="28"/>
          <w:szCs w:val="28"/>
        </w:rPr>
        <w:t>评级分值</w:t>
      </w:r>
      <w:r>
        <w:rPr>
          <w:rFonts w:hint="eastAsia" w:ascii="仿宋" w:hAnsi="仿宋" w:eastAsia="仿宋" w:cs="仿宋"/>
          <w:sz w:val="28"/>
          <w:szCs w:val="28"/>
        </w:rPr>
        <w:tab/>
      </w:r>
      <w:r>
        <w:rPr>
          <w:rFonts w:hint="eastAsia" w:ascii="仿宋" w:hAnsi="仿宋" w:eastAsia="仿宋" w:cs="仿宋"/>
          <w:sz w:val="28"/>
          <w:szCs w:val="28"/>
        </w:rPr>
        <w:t>本项目得分</w:t>
      </w:r>
      <w:r>
        <w:rPr>
          <w:rFonts w:hint="eastAsia" w:ascii="仿宋" w:hAnsi="仿宋" w:eastAsia="仿宋" w:cs="仿宋"/>
          <w:sz w:val="28"/>
          <w:szCs w:val="28"/>
        </w:rPr>
        <w:tab/>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284"/>
        <w:gridCol w:w="1632"/>
        <w:gridCol w:w="1635"/>
        <w:gridCol w:w="2024"/>
      </w:tblGrid>
      <w:tr w14:paraId="20CE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exact"/>
          <w:jc w:val="center"/>
        </w:trPr>
        <w:tc>
          <w:tcPr>
            <w:tcW w:w="1985" w:type="dxa"/>
            <w:noWrap/>
            <w:vAlign w:val="center"/>
          </w:tcPr>
          <w:p w14:paraId="0F27462B">
            <w:pPr>
              <w:widowControl/>
              <w:jc w:val="center"/>
              <w:rPr>
                <w:rFonts w:ascii="宋体" w:hAnsi="宋体" w:cs="宋体"/>
                <w:color w:val="000000"/>
                <w:sz w:val="24"/>
              </w:rPr>
            </w:pPr>
            <w:r>
              <w:rPr>
                <w:rFonts w:hint="eastAsia" w:ascii="宋体" w:hAnsi="宋体" w:cs="宋体"/>
                <w:color w:val="000000"/>
                <w:sz w:val="24"/>
              </w:rPr>
              <w:t>评价指标</w:t>
            </w:r>
          </w:p>
        </w:tc>
        <w:tc>
          <w:tcPr>
            <w:tcW w:w="1284" w:type="dxa"/>
            <w:noWrap/>
            <w:vAlign w:val="center"/>
          </w:tcPr>
          <w:p w14:paraId="4FB86492">
            <w:pPr>
              <w:widowControl/>
              <w:jc w:val="center"/>
              <w:rPr>
                <w:rFonts w:ascii="宋体" w:hAnsi="宋体" w:cs="宋体"/>
                <w:color w:val="000000"/>
                <w:sz w:val="24"/>
              </w:rPr>
            </w:pPr>
            <w:r>
              <w:rPr>
                <w:rFonts w:hint="eastAsia" w:ascii="宋体" w:hAnsi="宋体" w:cs="宋体"/>
                <w:color w:val="000000"/>
                <w:sz w:val="24"/>
              </w:rPr>
              <w:t>权重</w:t>
            </w:r>
          </w:p>
        </w:tc>
        <w:tc>
          <w:tcPr>
            <w:tcW w:w="1632" w:type="dxa"/>
            <w:noWrap/>
            <w:vAlign w:val="center"/>
          </w:tcPr>
          <w:p w14:paraId="19D58C8E">
            <w:pPr>
              <w:widowControl/>
              <w:jc w:val="center"/>
              <w:rPr>
                <w:rFonts w:ascii="宋体" w:hAnsi="宋体" w:cs="宋体"/>
                <w:color w:val="000000"/>
                <w:sz w:val="24"/>
              </w:rPr>
            </w:pPr>
            <w:r>
              <w:rPr>
                <w:rFonts w:hint="eastAsia" w:ascii="宋体" w:hAnsi="宋体" w:cs="宋体"/>
                <w:color w:val="000000"/>
                <w:sz w:val="24"/>
              </w:rPr>
              <w:t>评级分值</w:t>
            </w:r>
          </w:p>
        </w:tc>
        <w:tc>
          <w:tcPr>
            <w:tcW w:w="1635" w:type="dxa"/>
            <w:noWrap/>
            <w:vAlign w:val="center"/>
          </w:tcPr>
          <w:p w14:paraId="67DFBBFD">
            <w:pPr>
              <w:widowControl/>
              <w:jc w:val="center"/>
              <w:rPr>
                <w:rFonts w:ascii="宋体" w:hAnsi="宋体" w:cs="宋体"/>
                <w:color w:val="000000"/>
                <w:sz w:val="24"/>
              </w:rPr>
            </w:pPr>
            <w:r>
              <w:rPr>
                <w:rFonts w:hint="eastAsia" w:ascii="宋体" w:hAnsi="宋体" w:cs="宋体"/>
                <w:color w:val="000000"/>
                <w:sz w:val="24"/>
              </w:rPr>
              <w:t>本项目得分</w:t>
            </w:r>
          </w:p>
        </w:tc>
        <w:tc>
          <w:tcPr>
            <w:tcW w:w="2024" w:type="dxa"/>
            <w:noWrap/>
            <w:vAlign w:val="center"/>
          </w:tcPr>
          <w:p w14:paraId="1DC6DACB">
            <w:pPr>
              <w:widowControl/>
              <w:jc w:val="center"/>
              <w:rPr>
                <w:rFonts w:ascii="宋体" w:hAnsi="宋体" w:cs="宋体"/>
                <w:color w:val="000000"/>
                <w:sz w:val="24"/>
              </w:rPr>
            </w:pPr>
            <w:r>
              <w:rPr>
                <w:rFonts w:hint="eastAsia" w:ascii="宋体" w:hAnsi="宋体" w:cs="宋体"/>
                <w:color w:val="000000"/>
                <w:sz w:val="24"/>
              </w:rPr>
              <w:t>绩效评价</w:t>
            </w:r>
          </w:p>
        </w:tc>
      </w:tr>
      <w:tr w14:paraId="5F9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985" w:type="dxa"/>
            <w:noWrap/>
            <w:vAlign w:val="center"/>
          </w:tcPr>
          <w:p w14:paraId="73203E3C">
            <w:pPr>
              <w:widowControl/>
              <w:jc w:val="center"/>
              <w:rPr>
                <w:rFonts w:ascii="宋体" w:hAnsi="宋体" w:cs="宋体"/>
                <w:color w:val="000000"/>
                <w:sz w:val="24"/>
              </w:rPr>
            </w:pPr>
            <w:r>
              <w:rPr>
                <w:rFonts w:hint="eastAsia" w:ascii="宋体" w:hAnsi="宋体" w:cs="宋体"/>
                <w:color w:val="000000"/>
                <w:sz w:val="24"/>
              </w:rPr>
              <w:t>运行成本</w:t>
            </w:r>
          </w:p>
        </w:tc>
        <w:tc>
          <w:tcPr>
            <w:tcW w:w="1284" w:type="dxa"/>
            <w:noWrap/>
            <w:vAlign w:val="center"/>
          </w:tcPr>
          <w:p w14:paraId="6062B1C3">
            <w:pPr>
              <w:widowControl/>
              <w:jc w:val="center"/>
              <w:rPr>
                <w:rFonts w:ascii="宋体" w:hAnsi="宋体" w:cs="宋体"/>
                <w:color w:val="000000"/>
                <w:sz w:val="24"/>
              </w:rPr>
            </w:pPr>
            <w:r>
              <w:rPr>
                <w:rFonts w:hint="eastAsia" w:ascii="宋体" w:hAnsi="宋体" w:cs="宋体"/>
                <w:color w:val="000000"/>
                <w:sz w:val="24"/>
              </w:rPr>
              <w:t>8%</w:t>
            </w:r>
          </w:p>
        </w:tc>
        <w:tc>
          <w:tcPr>
            <w:tcW w:w="1632" w:type="dxa"/>
            <w:noWrap/>
            <w:vAlign w:val="center"/>
          </w:tcPr>
          <w:p w14:paraId="35AF92D3">
            <w:pPr>
              <w:widowControl/>
              <w:jc w:val="center"/>
              <w:rPr>
                <w:rFonts w:ascii="宋体" w:hAnsi="宋体" w:eastAsia="宋体" w:cs="宋体"/>
                <w:color w:val="000000"/>
                <w:sz w:val="24"/>
              </w:rPr>
            </w:pPr>
            <w:r>
              <w:rPr>
                <w:rFonts w:hint="eastAsia" w:ascii="宋体" w:hAnsi="宋体" w:eastAsia="宋体" w:cs="宋体"/>
                <w:color w:val="000000"/>
                <w:sz w:val="24"/>
              </w:rPr>
              <w:t>8</w:t>
            </w:r>
          </w:p>
        </w:tc>
        <w:tc>
          <w:tcPr>
            <w:tcW w:w="1635" w:type="dxa"/>
            <w:noWrap/>
            <w:vAlign w:val="center"/>
          </w:tcPr>
          <w:p w14:paraId="1D647D98">
            <w:pPr>
              <w:widowControl/>
              <w:jc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6</w:t>
            </w:r>
          </w:p>
        </w:tc>
        <w:tc>
          <w:tcPr>
            <w:tcW w:w="2024" w:type="dxa"/>
            <w:noWrap/>
            <w:vAlign w:val="center"/>
          </w:tcPr>
          <w:p w14:paraId="02B0DBBB">
            <w:pPr>
              <w:widowControl/>
              <w:jc w:val="center"/>
              <w:rPr>
                <w:rFonts w:ascii="宋体" w:hAnsi="宋体" w:cs="宋体"/>
                <w:color w:val="000000"/>
                <w:sz w:val="24"/>
              </w:rPr>
            </w:pPr>
            <w:r>
              <w:rPr>
                <w:rFonts w:hint="eastAsia" w:ascii="宋体" w:hAnsi="宋体" w:cs="宋体"/>
                <w:color w:val="000000"/>
                <w:sz w:val="24"/>
              </w:rPr>
              <w:t>控制合理</w:t>
            </w:r>
          </w:p>
        </w:tc>
      </w:tr>
      <w:tr w14:paraId="03F6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985" w:type="dxa"/>
            <w:noWrap/>
            <w:vAlign w:val="center"/>
          </w:tcPr>
          <w:p w14:paraId="7DDE34AA">
            <w:pPr>
              <w:widowControl/>
              <w:jc w:val="center"/>
              <w:rPr>
                <w:rFonts w:ascii="宋体" w:hAnsi="宋体" w:cs="宋体"/>
                <w:color w:val="000000"/>
                <w:sz w:val="24"/>
              </w:rPr>
            </w:pPr>
            <w:r>
              <w:rPr>
                <w:rFonts w:hint="eastAsia" w:ascii="宋体" w:hAnsi="宋体" w:cs="宋体"/>
                <w:color w:val="000000"/>
                <w:sz w:val="24"/>
              </w:rPr>
              <w:t>管理效率</w:t>
            </w:r>
          </w:p>
        </w:tc>
        <w:tc>
          <w:tcPr>
            <w:tcW w:w="1284" w:type="dxa"/>
            <w:noWrap/>
            <w:vAlign w:val="center"/>
          </w:tcPr>
          <w:p w14:paraId="4B42F992">
            <w:pPr>
              <w:widowControl/>
              <w:jc w:val="center"/>
              <w:rPr>
                <w:rFonts w:ascii="宋体" w:hAnsi="宋体" w:cs="宋体"/>
                <w:color w:val="000000"/>
                <w:sz w:val="24"/>
              </w:rPr>
            </w:pPr>
            <w:r>
              <w:rPr>
                <w:rFonts w:hint="eastAsia" w:ascii="宋体" w:hAnsi="宋体" w:cs="宋体"/>
                <w:color w:val="000000"/>
                <w:sz w:val="24"/>
              </w:rPr>
              <w:t>22%</w:t>
            </w:r>
          </w:p>
        </w:tc>
        <w:tc>
          <w:tcPr>
            <w:tcW w:w="1632" w:type="dxa"/>
            <w:noWrap/>
            <w:vAlign w:val="center"/>
          </w:tcPr>
          <w:p w14:paraId="144A6007">
            <w:pPr>
              <w:widowControl/>
              <w:jc w:val="center"/>
              <w:rPr>
                <w:rFonts w:ascii="宋体" w:hAnsi="宋体" w:cs="宋体"/>
                <w:color w:val="000000"/>
                <w:sz w:val="24"/>
              </w:rPr>
            </w:pPr>
            <w:r>
              <w:rPr>
                <w:rFonts w:hint="eastAsia" w:ascii="宋体" w:hAnsi="宋体" w:cs="宋体"/>
                <w:color w:val="000000"/>
                <w:sz w:val="24"/>
              </w:rPr>
              <w:t>22</w:t>
            </w:r>
          </w:p>
        </w:tc>
        <w:tc>
          <w:tcPr>
            <w:tcW w:w="1635" w:type="dxa"/>
            <w:noWrap/>
            <w:vAlign w:val="center"/>
          </w:tcPr>
          <w:p w14:paraId="665AB9D6">
            <w:pPr>
              <w:widowControl/>
              <w:jc w:val="center"/>
              <w:rPr>
                <w:rFonts w:hint="eastAsia" w:ascii="宋体" w:hAnsi="宋体" w:eastAsia="宋体" w:cs="宋体"/>
                <w:color w:val="000000"/>
                <w:sz w:val="24"/>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8</w:t>
            </w:r>
          </w:p>
        </w:tc>
        <w:tc>
          <w:tcPr>
            <w:tcW w:w="2024" w:type="dxa"/>
            <w:noWrap/>
            <w:vAlign w:val="center"/>
          </w:tcPr>
          <w:p w14:paraId="25EB9E9C">
            <w:pPr>
              <w:widowControl/>
              <w:jc w:val="center"/>
              <w:rPr>
                <w:rFonts w:ascii="宋体" w:hAnsi="宋体" w:cs="宋体"/>
                <w:color w:val="000000"/>
                <w:sz w:val="24"/>
              </w:rPr>
            </w:pPr>
            <w:r>
              <w:rPr>
                <w:rFonts w:hint="eastAsia" w:ascii="宋体" w:hAnsi="宋体" w:cs="宋体"/>
                <w:color w:val="000000"/>
                <w:sz w:val="24"/>
              </w:rPr>
              <w:t>管理良好</w:t>
            </w:r>
          </w:p>
        </w:tc>
      </w:tr>
      <w:tr w14:paraId="5EFD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985" w:type="dxa"/>
            <w:noWrap/>
            <w:vAlign w:val="center"/>
          </w:tcPr>
          <w:p w14:paraId="6B81F2F6">
            <w:pPr>
              <w:widowControl/>
              <w:jc w:val="center"/>
              <w:rPr>
                <w:rFonts w:ascii="宋体" w:hAnsi="宋体" w:cs="宋体"/>
                <w:color w:val="000000"/>
                <w:sz w:val="24"/>
              </w:rPr>
            </w:pPr>
            <w:r>
              <w:rPr>
                <w:rFonts w:hint="eastAsia" w:ascii="宋体" w:hAnsi="宋体" w:cs="宋体"/>
                <w:color w:val="000000"/>
                <w:sz w:val="24"/>
              </w:rPr>
              <w:t>履职效能</w:t>
            </w:r>
          </w:p>
        </w:tc>
        <w:tc>
          <w:tcPr>
            <w:tcW w:w="1284" w:type="dxa"/>
            <w:noWrap/>
            <w:vAlign w:val="center"/>
          </w:tcPr>
          <w:p w14:paraId="0DFDA7CB">
            <w:pPr>
              <w:widowControl/>
              <w:jc w:val="center"/>
              <w:rPr>
                <w:rFonts w:ascii="宋体" w:hAnsi="宋体" w:cs="宋体"/>
                <w:color w:val="000000"/>
                <w:sz w:val="24"/>
              </w:rPr>
            </w:pPr>
            <w:r>
              <w:rPr>
                <w:rFonts w:hint="eastAsia" w:ascii="宋体" w:hAnsi="宋体" w:cs="宋体"/>
                <w:color w:val="000000"/>
                <w:sz w:val="24"/>
              </w:rPr>
              <w:t>30%</w:t>
            </w:r>
          </w:p>
        </w:tc>
        <w:tc>
          <w:tcPr>
            <w:tcW w:w="1632" w:type="dxa"/>
            <w:noWrap/>
            <w:vAlign w:val="center"/>
          </w:tcPr>
          <w:p w14:paraId="10AB4965">
            <w:pPr>
              <w:widowControl/>
              <w:jc w:val="center"/>
              <w:rPr>
                <w:rFonts w:ascii="宋体" w:hAnsi="宋体" w:eastAsia="宋体" w:cs="宋体"/>
                <w:color w:val="000000"/>
                <w:sz w:val="24"/>
              </w:rPr>
            </w:pPr>
            <w:r>
              <w:rPr>
                <w:rFonts w:hint="eastAsia" w:ascii="宋体" w:hAnsi="宋体" w:eastAsia="宋体" w:cs="宋体"/>
                <w:color w:val="000000"/>
                <w:sz w:val="24"/>
              </w:rPr>
              <w:t>30</w:t>
            </w:r>
          </w:p>
        </w:tc>
        <w:tc>
          <w:tcPr>
            <w:tcW w:w="1635" w:type="dxa"/>
            <w:noWrap/>
            <w:vAlign w:val="center"/>
          </w:tcPr>
          <w:p w14:paraId="67A4E299">
            <w:pPr>
              <w:widowControl/>
              <w:jc w:val="center"/>
              <w:rPr>
                <w:rFonts w:ascii="宋体" w:hAnsi="宋体" w:eastAsia="宋体" w:cs="宋体"/>
                <w:color w:val="000000"/>
                <w:sz w:val="24"/>
              </w:rPr>
            </w:pPr>
            <w:r>
              <w:rPr>
                <w:rFonts w:hint="eastAsia" w:ascii="宋体" w:hAnsi="宋体" w:eastAsia="宋体" w:cs="宋体"/>
                <w:color w:val="000000"/>
                <w:sz w:val="24"/>
              </w:rPr>
              <w:t>30</w:t>
            </w:r>
          </w:p>
        </w:tc>
        <w:tc>
          <w:tcPr>
            <w:tcW w:w="2024" w:type="dxa"/>
            <w:noWrap/>
            <w:vAlign w:val="center"/>
          </w:tcPr>
          <w:p w14:paraId="2328904C">
            <w:pPr>
              <w:widowControl/>
              <w:jc w:val="center"/>
              <w:rPr>
                <w:rFonts w:ascii="宋体" w:hAnsi="宋体" w:cs="宋体"/>
                <w:color w:val="000000"/>
                <w:sz w:val="24"/>
              </w:rPr>
            </w:pPr>
            <w:r>
              <w:rPr>
                <w:rFonts w:hint="eastAsia" w:ascii="宋体" w:hAnsi="宋体" w:cs="宋体"/>
                <w:color w:val="000000"/>
                <w:sz w:val="24"/>
              </w:rPr>
              <w:t>履职有效</w:t>
            </w:r>
          </w:p>
        </w:tc>
      </w:tr>
      <w:tr w14:paraId="5F04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985" w:type="dxa"/>
            <w:noWrap/>
            <w:vAlign w:val="center"/>
          </w:tcPr>
          <w:p w14:paraId="3027F474">
            <w:pPr>
              <w:widowControl/>
              <w:jc w:val="center"/>
              <w:rPr>
                <w:rFonts w:ascii="宋体" w:hAnsi="宋体" w:cs="宋体"/>
                <w:color w:val="000000"/>
                <w:sz w:val="24"/>
              </w:rPr>
            </w:pPr>
            <w:r>
              <w:rPr>
                <w:rFonts w:hint="eastAsia" w:ascii="宋体" w:hAnsi="宋体" w:cs="宋体"/>
                <w:color w:val="000000"/>
                <w:sz w:val="24"/>
              </w:rPr>
              <w:t>社会效益</w:t>
            </w:r>
          </w:p>
        </w:tc>
        <w:tc>
          <w:tcPr>
            <w:tcW w:w="1284" w:type="dxa"/>
            <w:noWrap/>
            <w:vAlign w:val="center"/>
          </w:tcPr>
          <w:p w14:paraId="24E8724E">
            <w:pPr>
              <w:widowControl/>
              <w:jc w:val="center"/>
              <w:rPr>
                <w:rFonts w:ascii="宋体" w:hAnsi="宋体" w:cs="宋体"/>
                <w:color w:val="000000"/>
                <w:sz w:val="24"/>
              </w:rPr>
            </w:pPr>
            <w:r>
              <w:rPr>
                <w:rFonts w:hint="eastAsia" w:ascii="宋体" w:hAnsi="宋体" w:cs="宋体"/>
                <w:color w:val="000000"/>
                <w:sz w:val="24"/>
              </w:rPr>
              <w:t>30%</w:t>
            </w:r>
          </w:p>
        </w:tc>
        <w:tc>
          <w:tcPr>
            <w:tcW w:w="1632" w:type="dxa"/>
            <w:noWrap/>
            <w:vAlign w:val="center"/>
          </w:tcPr>
          <w:p w14:paraId="4C3603F5">
            <w:pPr>
              <w:widowControl/>
              <w:jc w:val="center"/>
              <w:rPr>
                <w:rFonts w:ascii="宋体" w:hAnsi="宋体" w:eastAsia="宋体" w:cs="宋体"/>
                <w:color w:val="000000"/>
                <w:sz w:val="24"/>
              </w:rPr>
            </w:pPr>
            <w:r>
              <w:rPr>
                <w:rFonts w:hint="eastAsia" w:ascii="宋体" w:hAnsi="宋体" w:eastAsia="宋体" w:cs="宋体"/>
                <w:color w:val="000000"/>
                <w:sz w:val="24"/>
              </w:rPr>
              <w:t>30</w:t>
            </w:r>
          </w:p>
        </w:tc>
        <w:tc>
          <w:tcPr>
            <w:tcW w:w="1635" w:type="dxa"/>
            <w:noWrap/>
            <w:vAlign w:val="center"/>
          </w:tcPr>
          <w:p w14:paraId="0AAAA3C9">
            <w:pPr>
              <w:widowControl/>
              <w:jc w:val="center"/>
              <w:rPr>
                <w:rFonts w:ascii="宋体" w:hAnsi="宋体" w:eastAsia="宋体" w:cs="宋体"/>
                <w:color w:val="000000"/>
                <w:sz w:val="24"/>
              </w:rPr>
            </w:pPr>
            <w:r>
              <w:rPr>
                <w:rFonts w:hint="eastAsia" w:ascii="宋体" w:hAnsi="宋体" w:eastAsia="宋体" w:cs="宋体"/>
                <w:color w:val="000000"/>
                <w:sz w:val="24"/>
              </w:rPr>
              <w:t>30</w:t>
            </w:r>
          </w:p>
        </w:tc>
        <w:tc>
          <w:tcPr>
            <w:tcW w:w="2024" w:type="dxa"/>
            <w:noWrap/>
            <w:vAlign w:val="center"/>
          </w:tcPr>
          <w:p w14:paraId="2557322C">
            <w:pPr>
              <w:widowControl/>
              <w:jc w:val="center"/>
              <w:rPr>
                <w:rFonts w:ascii="宋体" w:hAnsi="宋体" w:cs="宋体"/>
                <w:color w:val="000000"/>
                <w:sz w:val="24"/>
              </w:rPr>
            </w:pPr>
            <w:r>
              <w:rPr>
                <w:rFonts w:hint="eastAsia" w:ascii="宋体" w:hAnsi="宋体" w:cs="宋体"/>
                <w:color w:val="000000"/>
                <w:sz w:val="24"/>
              </w:rPr>
              <w:t>效果满意</w:t>
            </w:r>
          </w:p>
        </w:tc>
      </w:tr>
      <w:tr w14:paraId="779D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985" w:type="dxa"/>
            <w:noWrap/>
            <w:vAlign w:val="center"/>
          </w:tcPr>
          <w:p w14:paraId="3D4C16B2">
            <w:pPr>
              <w:widowControl/>
              <w:jc w:val="center"/>
              <w:rPr>
                <w:rFonts w:ascii="宋体" w:hAnsi="宋体" w:cs="宋体"/>
                <w:color w:val="000000"/>
                <w:sz w:val="24"/>
              </w:rPr>
            </w:pPr>
            <w:r>
              <w:rPr>
                <w:rFonts w:hint="eastAsia" w:ascii="宋体" w:hAnsi="宋体" w:cs="宋体"/>
                <w:color w:val="000000"/>
                <w:sz w:val="24"/>
              </w:rPr>
              <w:t>可持续创新能力</w:t>
            </w:r>
          </w:p>
        </w:tc>
        <w:tc>
          <w:tcPr>
            <w:tcW w:w="1284" w:type="dxa"/>
            <w:noWrap/>
            <w:vAlign w:val="center"/>
          </w:tcPr>
          <w:p w14:paraId="6BC068C2">
            <w:pPr>
              <w:widowControl/>
              <w:jc w:val="center"/>
              <w:rPr>
                <w:rFonts w:ascii="宋体" w:hAnsi="宋体" w:cs="宋体"/>
                <w:color w:val="000000"/>
                <w:sz w:val="24"/>
              </w:rPr>
            </w:pPr>
            <w:r>
              <w:rPr>
                <w:rFonts w:hint="eastAsia" w:ascii="宋体" w:hAnsi="宋体" w:cs="宋体"/>
                <w:color w:val="000000"/>
                <w:sz w:val="24"/>
              </w:rPr>
              <w:t>6%</w:t>
            </w:r>
          </w:p>
        </w:tc>
        <w:tc>
          <w:tcPr>
            <w:tcW w:w="1632" w:type="dxa"/>
            <w:noWrap/>
            <w:vAlign w:val="center"/>
          </w:tcPr>
          <w:p w14:paraId="3DDA0A04">
            <w:pPr>
              <w:widowControl/>
              <w:jc w:val="center"/>
              <w:rPr>
                <w:rFonts w:ascii="宋体" w:hAnsi="宋体" w:cs="宋体"/>
                <w:color w:val="000000"/>
                <w:sz w:val="24"/>
              </w:rPr>
            </w:pPr>
            <w:r>
              <w:rPr>
                <w:rFonts w:hint="eastAsia" w:ascii="宋体" w:hAnsi="宋体" w:cs="宋体"/>
                <w:color w:val="000000"/>
                <w:sz w:val="24"/>
              </w:rPr>
              <w:t>6</w:t>
            </w:r>
          </w:p>
        </w:tc>
        <w:tc>
          <w:tcPr>
            <w:tcW w:w="1635" w:type="dxa"/>
            <w:noWrap/>
            <w:vAlign w:val="center"/>
          </w:tcPr>
          <w:p w14:paraId="5583FAD4">
            <w:pPr>
              <w:widowControl/>
              <w:jc w:val="center"/>
              <w:rPr>
                <w:rFonts w:ascii="宋体" w:hAnsi="宋体" w:eastAsia="宋体" w:cs="宋体"/>
                <w:color w:val="000000"/>
                <w:sz w:val="24"/>
              </w:rPr>
            </w:pPr>
            <w:r>
              <w:rPr>
                <w:rFonts w:hint="eastAsia" w:ascii="宋体" w:hAnsi="宋体" w:eastAsia="宋体" w:cs="宋体"/>
                <w:color w:val="000000"/>
                <w:sz w:val="24"/>
              </w:rPr>
              <w:t>6</w:t>
            </w:r>
          </w:p>
        </w:tc>
        <w:tc>
          <w:tcPr>
            <w:tcW w:w="2024" w:type="dxa"/>
            <w:noWrap/>
            <w:vAlign w:val="center"/>
          </w:tcPr>
          <w:p w14:paraId="55F224BB">
            <w:pPr>
              <w:widowControl/>
              <w:jc w:val="center"/>
              <w:rPr>
                <w:rFonts w:ascii="宋体" w:hAnsi="宋体" w:cs="宋体"/>
                <w:color w:val="000000"/>
                <w:sz w:val="24"/>
              </w:rPr>
            </w:pPr>
            <w:r>
              <w:rPr>
                <w:rFonts w:hint="eastAsia" w:ascii="宋体" w:hAnsi="宋体" w:cs="宋体"/>
                <w:color w:val="000000"/>
                <w:sz w:val="24"/>
              </w:rPr>
              <w:t>优</w:t>
            </w:r>
          </w:p>
        </w:tc>
      </w:tr>
      <w:tr w14:paraId="07DB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985" w:type="dxa"/>
            <w:noWrap/>
            <w:vAlign w:val="center"/>
          </w:tcPr>
          <w:p w14:paraId="195333E1">
            <w:pPr>
              <w:widowControl/>
              <w:jc w:val="center"/>
              <w:rPr>
                <w:rFonts w:ascii="宋体" w:hAnsi="宋体" w:cs="宋体"/>
                <w:color w:val="000000"/>
                <w:sz w:val="24"/>
              </w:rPr>
            </w:pPr>
            <w:r>
              <w:rPr>
                <w:rFonts w:hint="eastAsia" w:ascii="宋体" w:hAnsi="宋体" w:cs="宋体"/>
                <w:color w:val="000000"/>
                <w:sz w:val="24"/>
              </w:rPr>
              <w:t>服务对象满意度</w:t>
            </w:r>
          </w:p>
        </w:tc>
        <w:tc>
          <w:tcPr>
            <w:tcW w:w="1284" w:type="dxa"/>
            <w:noWrap/>
            <w:vAlign w:val="center"/>
          </w:tcPr>
          <w:p w14:paraId="439EB381">
            <w:pPr>
              <w:widowControl/>
              <w:jc w:val="center"/>
              <w:rPr>
                <w:rFonts w:ascii="宋体" w:hAnsi="宋体" w:cs="宋体"/>
                <w:color w:val="000000"/>
                <w:sz w:val="24"/>
              </w:rPr>
            </w:pPr>
            <w:r>
              <w:rPr>
                <w:rFonts w:hint="eastAsia" w:ascii="宋体" w:hAnsi="宋体" w:cs="宋体"/>
                <w:color w:val="000000"/>
                <w:sz w:val="24"/>
              </w:rPr>
              <w:t>4%</w:t>
            </w:r>
          </w:p>
        </w:tc>
        <w:tc>
          <w:tcPr>
            <w:tcW w:w="1632" w:type="dxa"/>
            <w:noWrap/>
            <w:vAlign w:val="center"/>
          </w:tcPr>
          <w:p w14:paraId="487F060D">
            <w:pPr>
              <w:widowControl/>
              <w:jc w:val="center"/>
              <w:rPr>
                <w:rFonts w:ascii="宋体" w:hAnsi="宋体" w:cs="宋体"/>
                <w:color w:val="000000"/>
                <w:sz w:val="24"/>
              </w:rPr>
            </w:pPr>
            <w:r>
              <w:rPr>
                <w:rFonts w:hint="eastAsia" w:ascii="宋体" w:hAnsi="宋体" w:cs="宋体"/>
                <w:color w:val="000000"/>
                <w:sz w:val="24"/>
              </w:rPr>
              <w:t>4</w:t>
            </w:r>
          </w:p>
        </w:tc>
        <w:tc>
          <w:tcPr>
            <w:tcW w:w="1635" w:type="dxa"/>
            <w:noWrap/>
            <w:vAlign w:val="center"/>
          </w:tcPr>
          <w:p w14:paraId="11EDB773">
            <w:pPr>
              <w:widowControl/>
              <w:jc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4</w:t>
            </w:r>
          </w:p>
        </w:tc>
        <w:tc>
          <w:tcPr>
            <w:tcW w:w="2024" w:type="dxa"/>
            <w:noWrap/>
            <w:vAlign w:val="center"/>
          </w:tcPr>
          <w:p w14:paraId="16BABFB4">
            <w:pPr>
              <w:widowControl/>
              <w:jc w:val="center"/>
              <w:rPr>
                <w:rFonts w:ascii="宋体" w:hAnsi="宋体" w:cs="宋体"/>
                <w:color w:val="000000"/>
                <w:sz w:val="24"/>
              </w:rPr>
            </w:pPr>
            <w:r>
              <w:rPr>
                <w:rFonts w:hint="eastAsia" w:ascii="宋体" w:hAnsi="宋体" w:cs="宋体"/>
                <w:color w:val="000000"/>
                <w:sz w:val="24"/>
              </w:rPr>
              <w:t>满意</w:t>
            </w:r>
          </w:p>
        </w:tc>
      </w:tr>
      <w:tr w14:paraId="52BF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985" w:type="dxa"/>
            <w:noWrap/>
            <w:vAlign w:val="center"/>
          </w:tcPr>
          <w:p w14:paraId="665043C1">
            <w:pPr>
              <w:widowControl/>
              <w:jc w:val="center"/>
              <w:rPr>
                <w:rFonts w:ascii="宋体" w:hAnsi="宋体" w:cs="宋体"/>
                <w:color w:val="000000"/>
                <w:sz w:val="24"/>
              </w:rPr>
            </w:pPr>
            <w:r>
              <w:rPr>
                <w:rFonts w:hint="eastAsia" w:ascii="宋体" w:hAnsi="宋体" w:cs="宋体"/>
                <w:color w:val="000000"/>
                <w:sz w:val="24"/>
              </w:rPr>
              <w:t>合计</w:t>
            </w:r>
          </w:p>
        </w:tc>
        <w:tc>
          <w:tcPr>
            <w:tcW w:w="1284" w:type="dxa"/>
            <w:noWrap/>
            <w:vAlign w:val="center"/>
          </w:tcPr>
          <w:p w14:paraId="1D75EF95">
            <w:pPr>
              <w:widowControl/>
              <w:jc w:val="center"/>
              <w:rPr>
                <w:rFonts w:ascii="宋体" w:hAnsi="宋体" w:cs="宋体"/>
                <w:color w:val="000000"/>
                <w:sz w:val="24"/>
              </w:rPr>
            </w:pPr>
            <w:r>
              <w:rPr>
                <w:rFonts w:hint="eastAsia" w:ascii="宋体" w:hAnsi="宋体" w:cs="宋体"/>
                <w:color w:val="000000"/>
                <w:sz w:val="24"/>
              </w:rPr>
              <w:t>100%</w:t>
            </w:r>
          </w:p>
        </w:tc>
        <w:tc>
          <w:tcPr>
            <w:tcW w:w="1632" w:type="dxa"/>
            <w:noWrap/>
            <w:vAlign w:val="center"/>
          </w:tcPr>
          <w:p w14:paraId="11A412DE">
            <w:pPr>
              <w:widowControl/>
              <w:jc w:val="center"/>
              <w:rPr>
                <w:rFonts w:ascii="宋体" w:hAnsi="宋体" w:cs="宋体"/>
                <w:color w:val="000000"/>
                <w:sz w:val="24"/>
              </w:rPr>
            </w:pPr>
            <w:r>
              <w:rPr>
                <w:rFonts w:hint="eastAsia" w:ascii="宋体" w:hAnsi="宋体" w:cs="宋体"/>
                <w:color w:val="000000"/>
                <w:sz w:val="24"/>
              </w:rPr>
              <w:t>100</w:t>
            </w:r>
          </w:p>
        </w:tc>
        <w:tc>
          <w:tcPr>
            <w:tcW w:w="1635" w:type="dxa"/>
            <w:noWrap/>
            <w:vAlign w:val="center"/>
          </w:tcPr>
          <w:p w14:paraId="524AD861">
            <w:pPr>
              <w:widowControl/>
              <w:jc w:val="center"/>
              <w:rPr>
                <w:rFonts w:hint="eastAsia" w:ascii="宋体" w:hAnsi="宋体" w:eastAsia="宋体" w:cs="宋体"/>
                <w:color w:val="000000"/>
                <w:sz w:val="24"/>
                <w:lang w:eastAsia="zh-CN"/>
              </w:rPr>
            </w:pPr>
            <w:r>
              <w:rPr>
                <w:rFonts w:hint="eastAsia" w:ascii="宋体" w:hAnsi="宋体" w:eastAsia="宋体" w:cs="宋体"/>
                <w:color w:val="000000"/>
                <w:sz w:val="24"/>
              </w:rPr>
              <w:t>9</w:t>
            </w:r>
            <w:r>
              <w:rPr>
                <w:rFonts w:hint="eastAsia" w:ascii="宋体" w:hAnsi="宋体" w:eastAsia="宋体" w:cs="宋体"/>
                <w:color w:val="000000"/>
                <w:sz w:val="24"/>
                <w:lang w:val="en-US" w:eastAsia="zh-CN"/>
              </w:rPr>
              <w:t>4</w:t>
            </w:r>
          </w:p>
        </w:tc>
        <w:tc>
          <w:tcPr>
            <w:tcW w:w="2024" w:type="dxa"/>
            <w:noWrap/>
            <w:vAlign w:val="center"/>
          </w:tcPr>
          <w:p w14:paraId="7378F983">
            <w:pPr>
              <w:widowControl/>
              <w:jc w:val="center"/>
              <w:rPr>
                <w:rFonts w:ascii="宋体" w:hAnsi="宋体" w:cs="宋体"/>
                <w:color w:val="000000"/>
                <w:sz w:val="24"/>
              </w:rPr>
            </w:pPr>
          </w:p>
        </w:tc>
      </w:tr>
    </w:tbl>
    <w:p w14:paraId="50AD6462">
      <w:pPr>
        <w:pStyle w:val="19"/>
        <w:spacing w:line="240" w:lineRule="auto"/>
        <w:ind w:left="0"/>
        <w:rPr>
          <w:rFonts w:ascii="仿宋" w:hAnsi="仿宋" w:eastAsia="仿宋" w:cs="仿宋"/>
          <w:sz w:val="28"/>
          <w:szCs w:val="28"/>
        </w:rPr>
      </w:pPr>
    </w:p>
    <w:p w14:paraId="0ABA7790">
      <w:pPr>
        <w:pStyle w:val="19"/>
        <w:spacing w:line="240" w:lineRule="auto"/>
        <w:ind w:left="0"/>
        <w:rPr>
          <w:rFonts w:ascii="仿宋" w:hAnsi="仿宋" w:eastAsia="仿宋" w:cs="仿宋"/>
          <w:sz w:val="28"/>
          <w:szCs w:val="28"/>
        </w:rPr>
      </w:pPr>
      <w:r>
        <w:rPr>
          <w:rFonts w:hint="eastAsia" w:ascii="仿宋" w:hAnsi="仿宋" w:eastAsia="仿宋" w:cs="仿宋"/>
          <w:sz w:val="28"/>
          <w:szCs w:val="28"/>
        </w:rPr>
        <w:t>2、主要结论</w:t>
      </w:r>
    </w:p>
    <w:p w14:paraId="3F04D1C7">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采取定性和定量相结合的方法。权重确定方面，评价指标按照财政部《预算绩效评价共性指标体系框架》要求，结合省厅绩效评价特点设置，一级指标投入、运行成本、管理效率、履职效能和社会效益、可持续创新能力、满意度的权重分别占8%、22%、60%、6%和4%。指标权重由专家评价组依据各指标的重要性研究确定。评价时，考评人员分别采用不同的评价方法，对各指标定性定量分析，采用综合评价法对评价结果进行综合处理，形成对部门整体支出实施效果的评价。</w:t>
      </w:r>
    </w:p>
    <w:p w14:paraId="1D638D83">
      <w:pPr>
        <w:pStyle w:val="19"/>
        <w:spacing w:line="240" w:lineRule="auto"/>
        <w:ind w:left="0" w:firstLine="560"/>
        <w:rPr>
          <w:rFonts w:ascii="仿宋" w:hAnsi="仿宋" w:eastAsia="仿宋" w:cs="仿宋"/>
          <w:sz w:val="28"/>
          <w:szCs w:val="28"/>
        </w:rPr>
      </w:pPr>
      <w:r>
        <w:rPr>
          <w:rFonts w:hint="eastAsia" w:ascii="仿宋" w:hAnsi="仿宋" w:eastAsia="仿宋" w:cs="仿宋"/>
          <w:sz w:val="28"/>
          <w:szCs w:val="28"/>
        </w:rPr>
        <w:t>本次整体支出绩效评价总分9</w:t>
      </w:r>
      <w:r>
        <w:rPr>
          <w:rFonts w:hint="eastAsia" w:ascii="仿宋" w:hAnsi="仿宋" w:eastAsia="仿宋" w:cs="仿宋"/>
          <w:sz w:val="28"/>
          <w:szCs w:val="28"/>
          <w:lang w:val="en-US" w:eastAsia="zh-CN"/>
        </w:rPr>
        <w:t>4</w:t>
      </w:r>
      <w:r>
        <w:rPr>
          <w:rFonts w:hint="eastAsia" w:ascii="仿宋" w:hAnsi="仿宋" w:eastAsia="仿宋" w:cs="仿宋"/>
          <w:sz w:val="28"/>
          <w:szCs w:val="28"/>
        </w:rPr>
        <w:t>分，评价结果类型为“优”。实施项目与目前政策相符，社会满意度较好。</w:t>
      </w:r>
    </w:p>
    <w:p w14:paraId="5F344002">
      <w:pPr>
        <w:pStyle w:val="3"/>
        <w:spacing w:before="100" w:after="100" w:line="240" w:lineRule="auto"/>
        <w:rPr>
          <w:rFonts w:ascii="仿宋" w:hAnsi="仿宋" w:eastAsia="仿宋" w:cs="仿宋"/>
          <w:sz w:val="28"/>
          <w:szCs w:val="28"/>
        </w:rPr>
      </w:pPr>
      <w:r>
        <w:rPr>
          <w:rFonts w:hint="eastAsia" w:ascii="仿宋" w:hAnsi="仿宋" w:eastAsia="仿宋" w:cs="仿宋"/>
          <w:sz w:val="28"/>
          <w:szCs w:val="28"/>
        </w:rPr>
        <w:t>四、改进下一步工作的措施</w:t>
      </w:r>
    </w:p>
    <w:p w14:paraId="151CAEC0">
      <w:pPr>
        <w:ind w:firstLine="560"/>
        <w:rPr>
          <w:rFonts w:hint="eastAsia" w:ascii="仿宋" w:hAnsi="仿宋" w:eastAsia="仿宋" w:cs="仿宋"/>
          <w:sz w:val="28"/>
          <w:szCs w:val="28"/>
        </w:rPr>
      </w:pPr>
      <w:r>
        <w:rPr>
          <w:rFonts w:hint="eastAsia" w:ascii="仿宋" w:hAnsi="仿宋" w:eastAsia="仿宋" w:cs="仿宋"/>
          <w:sz w:val="28"/>
          <w:szCs w:val="28"/>
        </w:rPr>
        <w:t>1、加强预算编制，提高预算科学性，以进一步提财政资金的使用效益；预算编报测算不准确，各相关部门申报预算资金时未结合本年工作计划与上年实际执行情况对本年度经费支出明细、项目支出金额进行合理测算，造成预算编制与实际使用情况相差较大。</w:t>
      </w:r>
    </w:p>
    <w:p w14:paraId="245D39A6">
      <w:pPr>
        <w:ind w:firstLine="560"/>
        <w:rPr>
          <w:rFonts w:ascii="仿宋" w:hAnsi="仿宋" w:eastAsia="仿宋" w:cs="仿宋"/>
          <w:sz w:val="28"/>
          <w:szCs w:val="28"/>
        </w:rPr>
      </w:pPr>
      <w:r>
        <w:rPr>
          <w:rFonts w:hint="eastAsia" w:ascii="仿宋" w:hAnsi="仿宋" w:eastAsia="仿宋" w:cs="仿宋"/>
          <w:sz w:val="28"/>
          <w:szCs w:val="28"/>
        </w:rPr>
        <w:t>2、项目主管部门制定相关项目质量考核办法。根据各部门、各岗位的职责，遵循客观公正、注重实绩的原则，采取平时与定期相结合、定性与定量相结合的方法对项目相关人员进行考核，作为年度评优评先、干部任用的依据，有利于加强项目的质量可控性，更好的提升项目质量，责任到人。</w:t>
      </w:r>
    </w:p>
    <w:p w14:paraId="024D002F">
      <w:pPr>
        <w:ind w:firstLine="560"/>
        <w:rPr>
          <w:rFonts w:ascii="仿宋" w:hAnsi="仿宋" w:eastAsia="仿宋" w:cs="仿宋"/>
          <w:sz w:val="28"/>
          <w:szCs w:val="28"/>
        </w:rPr>
      </w:pPr>
      <w:r>
        <w:rPr>
          <w:rFonts w:hint="eastAsia" w:ascii="仿宋" w:hAnsi="仿宋" w:eastAsia="仿宋" w:cs="仿宋"/>
          <w:sz w:val="28"/>
          <w:szCs w:val="28"/>
        </w:rPr>
        <w:t>3、增强工作资料的留痕管理。根据开展工作的实际情况形成相应的工作成果及总结，对开展工作的具体情况进行文字记录、拍照，有利于人员考核和后期评价。</w:t>
      </w:r>
    </w:p>
    <w:p w14:paraId="7ADB6E81">
      <w:pPr>
        <w:ind w:firstLine="560"/>
        <w:jc w:val="right"/>
        <w:rPr>
          <w:rFonts w:hint="eastAsia" w:ascii="仿宋" w:hAnsi="仿宋" w:eastAsia="仿宋" w:cs="仿宋"/>
          <w:sz w:val="28"/>
          <w:szCs w:val="28"/>
        </w:rPr>
      </w:pPr>
    </w:p>
    <w:p w14:paraId="21B610BC">
      <w:pPr>
        <w:ind w:firstLine="560"/>
        <w:jc w:val="right"/>
        <w:rPr>
          <w:rFonts w:hint="eastAsia" w:ascii="仿宋" w:hAnsi="仿宋" w:eastAsia="仿宋" w:cs="仿宋"/>
          <w:sz w:val="28"/>
          <w:szCs w:val="28"/>
        </w:rPr>
      </w:pPr>
    </w:p>
    <w:p w14:paraId="4BF829E4">
      <w:pPr>
        <w:ind w:firstLine="560"/>
        <w:jc w:val="right"/>
        <w:rPr>
          <w:rFonts w:hint="eastAsia" w:ascii="仿宋" w:hAnsi="仿宋" w:eastAsia="仿宋" w:cs="仿宋"/>
          <w:sz w:val="28"/>
          <w:szCs w:val="28"/>
        </w:rPr>
      </w:pPr>
    </w:p>
    <w:p w14:paraId="14FC1F13">
      <w:pPr>
        <w:ind w:firstLine="560"/>
        <w:jc w:val="right"/>
        <w:rPr>
          <w:rFonts w:ascii="仿宋" w:hAnsi="仿宋" w:eastAsia="仿宋" w:cs="仿宋"/>
          <w:sz w:val="28"/>
          <w:szCs w:val="28"/>
        </w:rPr>
      </w:pPr>
      <w:r>
        <w:rPr>
          <w:rFonts w:hint="eastAsia" w:ascii="仿宋" w:hAnsi="仿宋" w:eastAsia="仿宋" w:cs="仿宋"/>
          <w:sz w:val="28"/>
          <w:szCs w:val="28"/>
        </w:rPr>
        <w:t xml:space="preserve">         随州市城市防洪排水事业发展中心                             </w:t>
      </w:r>
    </w:p>
    <w:p w14:paraId="2805C3D9">
      <w:pPr>
        <w:jc w:val="center"/>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5</w:t>
      </w:r>
      <w:r>
        <w:rPr>
          <w:rFonts w:hint="eastAsia" w:ascii="仿宋" w:hAnsi="仿宋" w:eastAsia="仿宋" w:cs="仿宋"/>
          <w:sz w:val="28"/>
          <w:szCs w:val="28"/>
        </w:rPr>
        <w:t>年04月18日</w:t>
      </w:r>
    </w:p>
    <w:sectPr>
      <w:footerReference r:id="rId10" w:type="first"/>
      <w:footerReference r:id="rId9" w:type="default"/>
      <w:pgSz w:w="11906" w:h="16838" w:orient="landscape"/>
      <w:pgMar w:top="2098" w:right="1474" w:bottom="1985" w:left="1588" w:header="851" w:footer="992" w:gutter="0"/>
      <w:pgNumType w:start="1"/>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5A73D">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79A2E">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74CCD">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44E7E">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6759A48">
                          <w:pPr>
                            <w:pStyle w:val="22"/>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tZQff0gEAAKcDAAAOAAAAAAAAAAEAIAAAAB4BAABk&#10;cnMvZTJvRG9jLnhtbFBLBQYAAAAABgAGAFkBAABiBQAAAAA=&#10;">
              <v:fill on="f" focussize="0,0"/>
              <v:stroke on="f"/>
              <v:imagedata o:title=""/>
              <o:lock v:ext="edit" aspectratio="f"/>
              <v:textbox inset="0mm,0mm,0mm,0mm" style="mso-fit-shape-to-text:t;">
                <w:txbxContent>
                  <w:p w14:paraId="56759A48">
                    <w:pPr>
                      <w:pStyle w:val="2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3474E">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D24A6C1">
                          <w:pPr>
                            <w:pStyle w:val="22"/>
                          </w:pPr>
                          <w:r>
                            <w:fldChar w:fldCharType="begin"/>
                          </w:r>
                          <w:r>
                            <w:instrText xml:space="preserve"> PAGE  \* MERGEFORMAT </w:instrText>
                          </w:r>
                          <w: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qlZ4W0gEAAKcDAAAOAAAAAAAAAAEAIAAAAB4BAABk&#10;cnMvZTJvRG9jLnhtbFBLBQYAAAAABgAGAFkBAABiBQAAAAA=&#10;">
              <v:fill on="f" focussize="0,0"/>
              <v:stroke on="f"/>
              <v:imagedata o:title=""/>
              <o:lock v:ext="edit" aspectratio="f"/>
              <v:textbox inset="0mm,0mm,0mm,0mm" style="mso-fit-shape-to-text:t;">
                <w:txbxContent>
                  <w:p w14:paraId="6D24A6C1">
                    <w:pPr>
                      <w:pStyle w:val="22"/>
                    </w:pPr>
                    <w:r>
                      <w:fldChar w:fldCharType="begin"/>
                    </w:r>
                    <w:r>
                      <w:instrText xml:space="preserve"> PAGE  \* MERGEFORMAT </w:instrText>
                    </w:r>
                    <w:r>
                      <w:fldChar w:fldCharType="separate"/>
                    </w:r>
                    <w:r>
                      <w:rPr>
                        <w:rFonts w:hint="eastAsia"/>
                      </w:rPr>
                      <w:t>- 0 -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051DC">
    <w:pPr>
      <w:pStyle w:val="23"/>
      <w:pBdr>
        <w:bottom w:val="none" w:color="000000"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F91B4">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DC25C">
    <w:pPr>
      <w:pStyle w:val="23"/>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3"/>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24322"/>
    <w:rsid w:val="794B00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lang w:val="en-US" w:eastAsia="zh-CN" w:bidi="ar-SA"/>
    </w:rPr>
  </w:style>
  <w:style w:type="paragraph" w:styleId="2">
    <w:name w:val="heading 1"/>
    <w:basedOn w:val="1"/>
    <w:next w:val="1"/>
    <w:link w:val="194"/>
    <w:qFormat/>
    <w:uiPriority w:val="9"/>
    <w:pPr>
      <w:keepNext/>
      <w:keepLines/>
      <w:spacing w:before="340" w:after="330" w:line="578" w:lineRule="auto"/>
      <w:outlineLvl w:val="0"/>
    </w:pPr>
    <w:rPr>
      <w:b/>
      <w:bCs/>
      <w:sz w:val="44"/>
      <w:szCs w:val="44"/>
    </w:rPr>
  </w:style>
  <w:style w:type="paragraph" w:styleId="3">
    <w:name w:val="heading 2"/>
    <w:basedOn w:val="1"/>
    <w:next w:val="1"/>
    <w:link w:val="19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4"/>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45"/>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6"/>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7"/>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8"/>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9"/>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50"/>
    <w:unhideWhenUsed/>
    <w:qFormat/>
    <w:uiPriority w:val="9"/>
    <w:pPr>
      <w:keepNext/>
      <w:keepLines/>
      <w:spacing w:before="320" w:after="200"/>
      <w:outlineLvl w:val="8"/>
    </w:pPr>
    <w:rPr>
      <w:rFonts w:ascii="等线" w:hAnsi="等线" w:eastAsia="等线" w:cs="等线"/>
      <w:i/>
      <w:iCs/>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semiHidden/>
    <w:unhideWhenUsed/>
    <w:qFormat/>
    <w:uiPriority w:val="99"/>
    <w:pPr>
      <w:jc w:val="left"/>
    </w:pPr>
  </w:style>
  <w:style w:type="paragraph" w:styleId="14">
    <w:name w:val="Body Text Indent"/>
    <w:basedOn w:val="1"/>
    <w:link w:val="199"/>
    <w:semiHidden/>
    <w:unhideWhenUsed/>
    <w:qFormat/>
    <w:uiPriority w:val="99"/>
    <w:pPr>
      <w:spacing w:after="120"/>
      <w:ind w:left="420"/>
    </w:p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toc 8"/>
    <w:basedOn w:val="1"/>
    <w:next w:val="1"/>
    <w:unhideWhenUsed/>
    <w:qFormat/>
    <w:uiPriority w:val="39"/>
    <w:pPr>
      <w:spacing w:after="57"/>
      <w:ind w:left="1984" w:right="0" w:firstLine="0"/>
    </w:pPr>
  </w:style>
  <w:style w:type="paragraph" w:styleId="18">
    <w:name w:val="Date"/>
    <w:basedOn w:val="1"/>
    <w:next w:val="1"/>
    <w:link w:val="193"/>
    <w:semiHidden/>
    <w:unhideWhenUsed/>
    <w:qFormat/>
    <w:uiPriority w:val="99"/>
    <w:pPr>
      <w:ind w:left="100"/>
    </w:pPr>
  </w:style>
  <w:style w:type="paragraph" w:styleId="19">
    <w:name w:val="Body Text Indent 2"/>
    <w:link w:val="198"/>
    <w:qFormat/>
    <w:uiPriority w:val="0"/>
    <w:pPr>
      <w:widowControl w:val="0"/>
      <w:spacing w:line="360" w:lineRule="auto"/>
      <w:ind w:left="420"/>
      <w:jc w:val="both"/>
    </w:pPr>
    <w:rPr>
      <w:rFonts w:hint="default" w:ascii="Calibri" w:hAnsi="Calibri" w:eastAsia="仿宋_GB2312" w:cs="Times New Roman"/>
      <w:sz w:val="21"/>
      <w:szCs w:val="24"/>
      <w:lang w:val="en-US" w:eastAsia="zh-CN" w:bidi="ar-SA"/>
    </w:rPr>
  </w:style>
  <w:style w:type="paragraph" w:styleId="20">
    <w:name w:val="endnote text"/>
    <w:basedOn w:val="1"/>
    <w:link w:val="187"/>
    <w:semiHidden/>
    <w:unhideWhenUsed/>
    <w:qFormat/>
    <w:uiPriority w:val="99"/>
    <w:pPr>
      <w:spacing w:after="0" w:line="240" w:lineRule="auto"/>
    </w:pPr>
    <w:rPr>
      <w:sz w:val="20"/>
    </w:rPr>
  </w:style>
  <w:style w:type="paragraph" w:styleId="21">
    <w:name w:val="Balloon Text"/>
    <w:basedOn w:val="1"/>
    <w:link w:val="192"/>
    <w:semiHidden/>
    <w:unhideWhenUsed/>
    <w:qFormat/>
    <w:uiPriority w:val="99"/>
    <w:rPr>
      <w:sz w:val="18"/>
      <w:szCs w:val="18"/>
    </w:rPr>
  </w:style>
  <w:style w:type="paragraph" w:styleId="22">
    <w:name w:val="footer"/>
    <w:basedOn w:val="1"/>
    <w:link w:val="190"/>
    <w:unhideWhenUsed/>
    <w:qFormat/>
    <w:uiPriority w:val="99"/>
    <w:pPr>
      <w:tabs>
        <w:tab w:val="center" w:pos="4153"/>
        <w:tab w:val="right" w:pos="8306"/>
      </w:tabs>
      <w:jc w:val="left"/>
    </w:pPr>
    <w:rPr>
      <w:sz w:val="18"/>
      <w:szCs w:val="18"/>
    </w:rPr>
  </w:style>
  <w:style w:type="paragraph" w:styleId="23">
    <w:name w:val="header"/>
    <w:basedOn w:val="1"/>
    <w:link w:val="189"/>
    <w:unhideWhenUsed/>
    <w:qFormat/>
    <w:uiPriority w:val="99"/>
    <w:pPr>
      <w:pBdr>
        <w:bottom w:val="single" w:color="000000" w:sz="6" w:space="1"/>
      </w:pBdr>
      <w:tabs>
        <w:tab w:val="center" w:pos="4153"/>
        <w:tab w:val="right" w:pos="8306"/>
      </w:tabs>
      <w:jc w:val="center"/>
    </w:pPr>
    <w:rPr>
      <w:sz w:val="18"/>
      <w:szCs w:val="18"/>
    </w:rPr>
  </w:style>
  <w:style w:type="paragraph" w:styleId="24">
    <w:name w:val="toc 1"/>
    <w:basedOn w:val="1"/>
    <w:next w:val="1"/>
    <w:unhideWhenUsed/>
    <w:qFormat/>
    <w:uiPriority w:val="39"/>
    <w:pPr>
      <w:spacing w:after="57"/>
      <w:ind w:left="0" w:right="0" w:firstLine="0"/>
    </w:pPr>
  </w:style>
  <w:style w:type="paragraph" w:styleId="25">
    <w:name w:val="toc 4"/>
    <w:basedOn w:val="1"/>
    <w:next w:val="1"/>
    <w:unhideWhenUsed/>
    <w:qFormat/>
    <w:uiPriority w:val="39"/>
    <w:pPr>
      <w:spacing w:after="57"/>
      <w:ind w:left="850" w:right="0" w:firstLine="0"/>
    </w:pPr>
  </w:style>
  <w:style w:type="paragraph" w:styleId="26">
    <w:name w:val="Subtitle"/>
    <w:basedOn w:val="1"/>
    <w:next w:val="1"/>
    <w:link w:val="53"/>
    <w:qFormat/>
    <w:uiPriority w:val="11"/>
    <w:pPr>
      <w:spacing w:before="200" w:after="200"/>
    </w:pPr>
    <w:rPr>
      <w:sz w:val="24"/>
      <w:szCs w:val="24"/>
    </w:rPr>
  </w:style>
  <w:style w:type="paragraph" w:styleId="27">
    <w:name w:val="footnote text"/>
    <w:basedOn w:val="1"/>
    <w:link w:val="186"/>
    <w:semiHidden/>
    <w:unhideWhenUsed/>
    <w:qFormat/>
    <w:uiPriority w:val="99"/>
    <w:pPr>
      <w:spacing w:after="40" w:line="240" w:lineRule="auto"/>
    </w:pPr>
    <w:rPr>
      <w:sz w:val="18"/>
    </w:rPr>
  </w:style>
  <w:style w:type="paragraph" w:styleId="28">
    <w:name w:val="toc 6"/>
    <w:basedOn w:val="1"/>
    <w:next w:val="1"/>
    <w:unhideWhenUsed/>
    <w:qFormat/>
    <w:uiPriority w:val="39"/>
    <w:pPr>
      <w:spacing w:after="57"/>
      <w:ind w:left="1417" w:right="0" w:firstLine="0"/>
    </w:pPr>
  </w:style>
  <w:style w:type="paragraph" w:styleId="29">
    <w:name w:val="table of figures"/>
    <w:basedOn w:val="1"/>
    <w:next w:val="1"/>
    <w:unhideWhenUsed/>
    <w:qFormat/>
    <w:uiPriority w:val="99"/>
    <w:pPr>
      <w:spacing w:after="0" w:afterAutospacing="0"/>
    </w:pPr>
  </w:style>
  <w:style w:type="paragraph" w:styleId="30">
    <w:name w:val="toc 2"/>
    <w:basedOn w:val="1"/>
    <w:next w:val="1"/>
    <w:unhideWhenUsed/>
    <w:qFormat/>
    <w:uiPriority w:val="39"/>
    <w:pPr>
      <w:spacing w:after="57"/>
      <w:ind w:left="283" w:right="0" w:firstLine="0"/>
    </w:pPr>
  </w:style>
  <w:style w:type="paragraph" w:styleId="31">
    <w:name w:val="toc 9"/>
    <w:basedOn w:val="1"/>
    <w:next w:val="1"/>
    <w:unhideWhenUsed/>
    <w:qFormat/>
    <w:uiPriority w:val="39"/>
    <w:pPr>
      <w:spacing w:after="57"/>
      <w:ind w:left="2268" w:right="0" w:firstLine="0"/>
    </w:pPr>
  </w:style>
  <w:style w:type="paragraph" w:styleId="32">
    <w:name w:val="Normal (Web)"/>
    <w:basedOn w:val="1"/>
    <w:semiHidden/>
    <w:unhideWhenUsed/>
    <w:qFormat/>
    <w:uiPriority w:val="99"/>
    <w:rPr>
      <w:sz w:val="24"/>
    </w:rPr>
  </w:style>
  <w:style w:type="paragraph" w:styleId="33">
    <w:name w:val="Title"/>
    <w:basedOn w:val="1"/>
    <w:next w:val="1"/>
    <w:link w:val="52"/>
    <w:qFormat/>
    <w:uiPriority w:val="10"/>
    <w:pPr>
      <w:spacing w:before="300" w:after="200"/>
      <w:contextualSpacing/>
    </w:pPr>
    <w:rPr>
      <w:sz w:val="48"/>
      <w:szCs w:val="48"/>
    </w:rPr>
  </w:style>
  <w:style w:type="paragraph" w:styleId="34">
    <w:name w:val="Body Text First Indent 2"/>
    <w:basedOn w:val="14"/>
    <w:link w:val="200"/>
    <w:unhideWhenUsed/>
    <w:qFormat/>
    <w:uiPriority w:val="99"/>
    <w:pPr>
      <w:ind w:firstLine="420"/>
    </w:pPr>
  </w:style>
  <w:style w:type="table" w:styleId="36">
    <w:name w:val="Table Grid"/>
    <w:basedOn w:val="35"/>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8">
    <w:name w:val="endnote reference"/>
    <w:basedOn w:val="37"/>
    <w:semiHidden/>
    <w:unhideWhenUsed/>
    <w:qFormat/>
    <w:uiPriority w:val="99"/>
    <w:rPr>
      <w:vertAlign w:val="superscript"/>
    </w:rPr>
  </w:style>
  <w:style w:type="character" w:styleId="39">
    <w:name w:val="Hyperlink"/>
    <w:unhideWhenUsed/>
    <w:qFormat/>
    <w:uiPriority w:val="99"/>
    <w:rPr>
      <w:color w:val="0000FF" w:themeColor="hyperlink"/>
      <w:u w:val="single"/>
      <w14:textFill>
        <w14:solidFill>
          <w14:schemeClr w14:val="hlink"/>
        </w14:solidFill>
      </w14:textFill>
    </w:rPr>
  </w:style>
  <w:style w:type="character" w:styleId="40">
    <w:name w:val="annotation reference"/>
    <w:basedOn w:val="37"/>
    <w:semiHidden/>
    <w:unhideWhenUsed/>
    <w:qFormat/>
    <w:uiPriority w:val="99"/>
    <w:rPr>
      <w:sz w:val="21"/>
      <w:szCs w:val="21"/>
    </w:rPr>
  </w:style>
  <w:style w:type="character" w:styleId="41">
    <w:name w:val="footnote reference"/>
    <w:basedOn w:val="37"/>
    <w:unhideWhenUsed/>
    <w:qFormat/>
    <w:uiPriority w:val="99"/>
    <w:rPr>
      <w:vertAlign w:val="superscript"/>
    </w:rPr>
  </w:style>
  <w:style w:type="character" w:customStyle="1" w:styleId="42">
    <w:name w:val="Heading 1 Char"/>
    <w:basedOn w:val="37"/>
    <w:uiPriority w:val="9"/>
    <w:rPr>
      <w:rFonts w:ascii="等线" w:hAnsi="等线" w:eastAsia="等线" w:cs="等线"/>
      <w:sz w:val="40"/>
      <w:szCs w:val="40"/>
    </w:rPr>
  </w:style>
  <w:style w:type="character" w:customStyle="1" w:styleId="43">
    <w:name w:val="Heading 2 Char"/>
    <w:basedOn w:val="37"/>
    <w:uiPriority w:val="9"/>
    <w:rPr>
      <w:rFonts w:ascii="等线" w:hAnsi="等线" w:eastAsia="等线" w:cs="等线"/>
      <w:sz w:val="34"/>
    </w:rPr>
  </w:style>
  <w:style w:type="character" w:customStyle="1" w:styleId="44">
    <w:name w:val="Heading 3 Char"/>
    <w:basedOn w:val="37"/>
    <w:link w:val="4"/>
    <w:qFormat/>
    <w:uiPriority w:val="9"/>
    <w:rPr>
      <w:rFonts w:ascii="等线" w:hAnsi="等线" w:eastAsia="等线" w:cs="等线"/>
      <w:sz w:val="30"/>
      <w:szCs w:val="30"/>
    </w:rPr>
  </w:style>
  <w:style w:type="character" w:customStyle="1" w:styleId="45">
    <w:name w:val="Heading 4 Char"/>
    <w:basedOn w:val="37"/>
    <w:link w:val="5"/>
    <w:uiPriority w:val="9"/>
    <w:rPr>
      <w:rFonts w:ascii="等线" w:hAnsi="等线" w:eastAsia="等线" w:cs="等线"/>
      <w:b/>
      <w:bCs/>
      <w:sz w:val="26"/>
      <w:szCs w:val="26"/>
    </w:rPr>
  </w:style>
  <w:style w:type="character" w:customStyle="1" w:styleId="46">
    <w:name w:val="Heading 5 Char"/>
    <w:basedOn w:val="37"/>
    <w:link w:val="6"/>
    <w:uiPriority w:val="9"/>
    <w:rPr>
      <w:rFonts w:ascii="等线" w:hAnsi="等线" w:eastAsia="等线" w:cs="等线"/>
      <w:b/>
      <w:bCs/>
      <w:sz w:val="24"/>
      <w:szCs w:val="24"/>
    </w:rPr>
  </w:style>
  <w:style w:type="character" w:customStyle="1" w:styleId="47">
    <w:name w:val="Heading 6 Char"/>
    <w:basedOn w:val="37"/>
    <w:link w:val="7"/>
    <w:uiPriority w:val="9"/>
    <w:rPr>
      <w:rFonts w:ascii="等线" w:hAnsi="等线" w:eastAsia="等线" w:cs="等线"/>
      <w:b/>
      <w:bCs/>
      <w:sz w:val="22"/>
      <w:szCs w:val="22"/>
    </w:rPr>
  </w:style>
  <w:style w:type="character" w:customStyle="1" w:styleId="48">
    <w:name w:val="Heading 7 Char"/>
    <w:basedOn w:val="37"/>
    <w:link w:val="8"/>
    <w:uiPriority w:val="9"/>
    <w:rPr>
      <w:rFonts w:ascii="等线" w:hAnsi="等线" w:eastAsia="等线" w:cs="等线"/>
      <w:b/>
      <w:bCs/>
      <w:i/>
      <w:iCs/>
      <w:sz w:val="22"/>
      <w:szCs w:val="22"/>
    </w:rPr>
  </w:style>
  <w:style w:type="character" w:customStyle="1" w:styleId="49">
    <w:name w:val="Heading 8 Char"/>
    <w:basedOn w:val="37"/>
    <w:link w:val="9"/>
    <w:qFormat/>
    <w:uiPriority w:val="9"/>
    <w:rPr>
      <w:rFonts w:ascii="等线" w:hAnsi="等线" w:eastAsia="等线" w:cs="等线"/>
      <w:i/>
      <w:iCs/>
      <w:sz w:val="22"/>
      <w:szCs w:val="22"/>
    </w:rPr>
  </w:style>
  <w:style w:type="character" w:customStyle="1" w:styleId="50">
    <w:name w:val="Heading 9 Char"/>
    <w:basedOn w:val="37"/>
    <w:link w:val="10"/>
    <w:uiPriority w:val="9"/>
    <w:rPr>
      <w:rFonts w:ascii="等线" w:hAnsi="等线" w:eastAsia="等线" w:cs="等线"/>
      <w:i/>
      <w:iCs/>
      <w:sz w:val="21"/>
      <w:szCs w:val="21"/>
    </w:rPr>
  </w:style>
  <w:style w:type="paragraph" w:styleId="51">
    <w:name w:val="No Spacing"/>
    <w:qFormat/>
    <w:uiPriority w:val="1"/>
    <w:pPr>
      <w:spacing w:before="0" w:after="0" w:line="240" w:lineRule="auto"/>
    </w:pPr>
    <w:rPr>
      <w:rFonts w:hint="default" w:ascii="Times New Roman" w:hAnsi="Times New Roman" w:eastAsia="宋体" w:cs="Times New Roman"/>
    </w:rPr>
  </w:style>
  <w:style w:type="character" w:customStyle="1" w:styleId="52">
    <w:name w:val="Title Char"/>
    <w:basedOn w:val="37"/>
    <w:link w:val="33"/>
    <w:uiPriority w:val="10"/>
    <w:rPr>
      <w:sz w:val="48"/>
      <w:szCs w:val="48"/>
    </w:rPr>
  </w:style>
  <w:style w:type="character" w:customStyle="1" w:styleId="53">
    <w:name w:val="Subtitle Char"/>
    <w:basedOn w:val="37"/>
    <w:link w:val="26"/>
    <w:uiPriority w:val="11"/>
    <w:rPr>
      <w:sz w:val="24"/>
      <w:szCs w:val="24"/>
    </w:rPr>
  </w:style>
  <w:style w:type="paragraph" w:styleId="54">
    <w:name w:val="Quote"/>
    <w:basedOn w:val="1"/>
    <w:next w:val="1"/>
    <w:link w:val="55"/>
    <w:qFormat/>
    <w:uiPriority w:val="29"/>
    <w:pPr>
      <w:ind w:left="720" w:right="720"/>
    </w:pPr>
    <w:rPr>
      <w:i/>
    </w:rPr>
  </w:style>
  <w:style w:type="character" w:customStyle="1" w:styleId="55">
    <w:name w:val="Quote Char"/>
    <w:link w:val="54"/>
    <w:qFormat/>
    <w:uiPriority w:val="29"/>
    <w:rPr>
      <w:i/>
    </w:rPr>
  </w:style>
  <w:style w:type="paragraph" w:styleId="56">
    <w:name w:val="Intense Quote"/>
    <w:basedOn w:val="1"/>
    <w:next w:val="1"/>
    <w:link w:val="5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7">
    <w:name w:val="Intense Quote Char"/>
    <w:link w:val="56"/>
    <w:qFormat/>
    <w:uiPriority w:val="30"/>
    <w:rPr>
      <w:i/>
    </w:rPr>
  </w:style>
  <w:style w:type="character" w:customStyle="1" w:styleId="58">
    <w:name w:val="Header Char"/>
    <w:basedOn w:val="37"/>
    <w:uiPriority w:val="99"/>
  </w:style>
  <w:style w:type="character" w:customStyle="1" w:styleId="59">
    <w:name w:val="Footer Char"/>
    <w:basedOn w:val="37"/>
    <w:uiPriority w:val="99"/>
  </w:style>
  <w:style w:type="character" w:customStyle="1" w:styleId="60">
    <w:name w:val="Caption Char"/>
    <w:qFormat/>
    <w:uiPriority w:val="99"/>
  </w:style>
  <w:style w:type="table" w:customStyle="1" w:styleId="61">
    <w:name w:val="Table Grid Light"/>
    <w:basedOn w:val="35"/>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Plain Table 1"/>
    <w:basedOn w:val="35"/>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Plain Table 2"/>
    <w:basedOn w:val="35"/>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Plain Table 3"/>
    <w:basedOn w:val="35"/>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Plain Table 4"/>
    <w:basedOn w:val="35"/>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Plain Table 5"/>
    <w:basedOn w:val="35"/>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w:basedOn w:val="35"/>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1"/>
    <w:basedOn w:val="35"/>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1 Light - Accent 2"/>
    <w:basedOn w:val="35"/>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1 Light - Accent 3"/>
    <w:basedOn w:val="35"/>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1 Light - Accent 4"/>
    <w:basedOn w:val="35"/>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1 Light - Accent 5"/>
    <w:basedOn w:val="3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1 Light - Accent 6"/>
    <w:basedOn w:val="35"/>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w:basedOn w:val="3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1"/>
    <w:basedOn w:val="35"/>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2 - Accent 2"/>
    <w:basedOn w:val="35"/>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2 - Accent 3"/>
    <w:basedOn w:val="35"/>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2 - Accent 4"/>
    <w:basedOn w:val="35"/>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2 - Accent 5"/>
    <w:basedOn w:val="3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2 - Accent 6"/>
    <w:basedOn w:val="35"/>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w:basedOn w:val="3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1"/>
    <w:basedOn w:val="35"/>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3 - Accent 2"/>
    <w:basedOn w:val="35"/>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3 - Accent 3"/>
    <w:basedOn w:val="35"/>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3 - Accent 4"/>
    <w:basedOn w:val="35"/>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3 - Accent 5"/>
    <w:basedOn w:val="3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3 - Accent 6"/>
    <w:basedOn w:val="35"/>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w:basedOn w:val="35"/>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1"/>
    <w:basedOn w:val="35"/>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4 - Accent 2"/>
    <w:basedOn w:val="35"/>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4 - Accent 3"/>
    <w:basedOn w:val="35"/>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4 - Accent 4"/>
    <w:basedOn w:val="35"/>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4 - Accent 5"/>
    <w:basedOn w:val="3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4 - Accent 6"/>
    <w:basedOn w:val="35"/>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w:basedOn w:val="3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CCE8C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Accent 1"/>
    <w:basedOn w:val="3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CCE8C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5 Dark - Accent 2"/>
    <w:basedOn w:val="3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CCE8C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5 Dark - Accent 3"/>
    <w:basedOn w:val="3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CCE8C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9">
    <w:name w:val="Grid Table 5 Dark- Accent 4"/>
    <w:basedOn w:val="3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CCE8C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0">
    <w:name w:val="Grid Table 5 Dark - Accent 5"/>
    <w:basedOn w:val="3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CCE8C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1">
    <w:name w:val="Grid Table 5 Dark - Accent 6"/>
    <w:basedOn w:val="3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CCE8C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2">
    <w:name w:val="Grid Table 6 Colorful"/>
    <w:basedOn w:val="35"/>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1"/>
    <w:basedOn w:val="35"/>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6 Colorful - Accent 2"/>
    <w:basedOn w:val="35"/>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6 Colorful - Accent 3"/>
    <w:basedOn w:val="35"/>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6 Colorful - Accent 4"/>
    <w:basedOn w:val="35"/>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6 Colorful - Accent 5"/>
    <w:basedOn w:val="3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6 Colorful - Accent 6"/>
    <w:basedOn w:val="35"/>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w:basedOn w:val="35"/>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CCE8CF" w:themeColor="light1" w:fill="CCE8C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CCE8CF" w:themeColor="light1" w:fill="CCE8C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1"/>
    <w:basedOn w:val="35"/>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CCE8CF" w:themeColor="light1" w:fill="CCE8C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CCE8CF" w:themeColor="light1" w:fill="CCE8C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1">
    <w:name w:val="Grid Table 7 Colorful - Accent 2"/>
    <w:basedOn w:val="35"/>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CCE8CF" w:themeColor="light1" w:fill="CCE8C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CCE8CF" w:themeColor="light1" w:fill="CCE8C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2">
    <w:name w:val="Grid Table 7 Colorful - Accent 3"/>
    <w:basedOn w:val="35"/>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CCE8CF" w:themeColor="light1" w:fill="CCE8C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CCE8CF" w:themeColor="light1" w:fill="CCE8C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3">
    <w:name w:val="Grid Table 7 Colorful - Accent 4"/>
    <w:basedOn w:val="35"/>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CCE8CF" w:themeColor="light1" w:fill="CCE8C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CCE8CF" w:themeColor="light1" w:fill="CCE8C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4">
    <w:name w:val="Grid Table 7 Colorful - Accent 5"/>
    <w:basedOn w:val="3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CCE8CF" w:themeColor="light1" w:fill="CCE8C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CCE8CF" w:themeColor="light1" w:fill="CCE8C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5">
    <w:name w:val="Grid Table 7 Colorful - Accent 6"/>
    <w:basedOn w:val="35"/>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CCE8CF" w:themeColor="light1" w:fill="CCE8C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CCE8CF" w:themeColor="light1" w:fill="CCE8C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6">
    <w:name w:val="List Table 1 Light"/>
    <w:basedOn w:val="35"/>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1"/>
    <w:basedOn w:val="35"/>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1 Light - Accent 2"/>
    <w:basedOn w:val="35"/>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1 Light - Accent 3"/>
    <w:basedOn w:val="35"/>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1 Light - Accent 4"/>
    <w:basedOn w:val="35"/>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1 Light - Accent 5"/>
    <w:basedOn w:val="3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1 Light - Accent 6"/>
    <w:basedOn w:val="35"/>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w:basedOn w:val="35"/>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1"/>
    <w:basedOn w:val="35"/>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2 - Accent 2"/>
    <w:basedOn w:val="35"/>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2 - Accent 3"/>
    <w:basedOn w:val="35"/>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2 - Accent 4"/>
    <w:basedOn w:val="35"/>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2 - Accent 5"/>
    <w:basedOn w:val="3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2 - Accent 6"/>
    <w:basedOn w:val="35"/>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w:basedOn w:val="35"/>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1"/>
    <w:basedOn w:val="35"/>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3 - Accent 2"/>
    <w:basedOn w:val="35"/>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3 - Accent 3"/>
    <w:basedOn w:val="35"/>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3 - Accent 4"/>
    <w:basedOn w:val="35"/>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3 - Accent 5"/>
    <w:basedOn w:val="3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3 - Accent 6"/>
    <w:basedOn w:val="35"/>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w:basedOn w:val="35"/>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1"/>
    <w:basedOn w:val="35"/>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4 - Accent 2"/>
    <w:basedOn w:val="35"/>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4 - Accent 3"/>
    <w:basedOn w:val="35"/>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1">
    <w:name w:val="List Table 4 - Accent 4"/>
    <w:basedOn w:val="35"/>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2">
    <w:name w:val="List Table 4 - Accent 5"/>
    <w:basedOn w:val="3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3">
    <w:name w:val="List Table 4 - Accent 6"/>
    <w:basedOn w:val="35"/>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4">
    <w:name w:val="List Table 5 Dark"/>
    <w:basedOn w:val="35"/>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CCE8CF" w:themeColor="light1"/>
        <w:sz w:val="22"/>
        <w14:textFill>
          <w14:solidFill>
            <w14:schemeClr w14:val="lt1"/>
          </w14:solidFill>
        </w14:textFill>
      </w:rPr>
      <w:tblPr/>
      <w:tcPr>
        <w:tcBorders>
          <w:top w:val="single" w:color="7E7E7E" w:themeColor="text1" w:themeTint="80" w:sz="32" w:space="0"/>
          <w:bottom w:val="single" w:color="CCE8CF" w:themeColor="light1" w:sz="12" w:space="0"/>
        </w:tcBorders>
        <w:shd w:val="clear" w:color="7E7E7E" w:themeColor="text1" w:themeTint="80" w:fill="7E7E7E" w:themeFill="text1" w:themeFillTint="80"/>
      </w:tcPr>
    </w:tblStylePr>
    <w:tblStylePr w:type="lastRow">
      <w:rPr>
        <w:rFonts w:ascii="Arial" w:hAnsi="Arial"/>
        <w:b/>
        <w:color w:val="CCE8CF" w:themeColor="light1"/>
        <w:sz w:val="22"/>
        <w14:textFill>
          <w14:solidFill>
            <w14:schemeClr w14:val="lt1"/>
          </w14:solidFill>
        </w14:textFill>
      </w:rPr>
      <w:tblPr/>
    </w:tblStylePr>
    <w:tblStylePr w:type="firstCol">
      <w:rPr>
        <w:rFonts w:ascii="Arial" w:hAnsi="Arial"/>
        <w:b/>
        <w:color w:val="CCE8CF" w:themeColor="light1"/>
        <w:sz w:val="22"/>
        <w14:textFill>
          <w14:solidFill>
            <w14:schemeClr w14:val="lt1"/>
          </w14:solidFill>
        </w14:textFill>
      </w:rPr>
      <w:tblPr/>
      <w:tcPr>
        <w:tcBorders>
          <w:left w:val="single" w:color="7E7E7E" w:themeColor="text1" w:themeTint="80" w:sz="32" w:space="0"/>
          <w:right w:val="single" w:color="CCE8CF" w:themeColor="light1" w:sz="4" w:space="0"/>
        </w:tcBorders>
      </w:tcPr>
    </w:tblStylePr>
    <w:tblStylePr w:type="lastCol">
      <w:tblPr/>
      <w:tcPr>
        <w:tcBorders>
          <w:left w:val="single" w:color="CCE8CF" w:themeColor="light1" w:sz="4" w:space="0"/>
          <w:right w:val="single" w:color="7E7E7E" w:themeColor="text1" w:themeTint="80" w:sz="32" w:space="0"/>
        </w:tcBorders>
      </w:tcPr>
    </w:tblStylePr>
    <w:tblStylePr w:type="band1Vert">
      <w:tblPr/>
      <w:tcPr>
        <w:tcBorders>
          <w:left w:val="single" w:color="CCE8CF" w:themeColor="light1" w:sz="4" w:space="0"/>
          <w:right w:val="single" w:color="CCE8CF" w:themeColor="light1" w:sz="4" w:space="0"/>
        </w:tcBorders>
        <w:shd w:val="clear" w:color="7E7E7E" w:themeColor="text1" w:themeTint="80" w:fill="7E7E7E" w:themeFill="text1" w:themeFillTint="80"/>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7E7E7E" w:themeColor="text1" w:themeTint="80" w:fill="7E7E7E" w:themeFill="text1" w:themeFillTint="80"/>
      </w:tcPr>
    </w:tblStylePr>
    <w:tblStylePr w:type="band2Horz">
      <w:tblPr/>
      <w:tcPr>
        <w:tcBorders>
          <w:top w:val="single" w:color="CCE8CF" w:themeColor="light1" w:sz="4" w:space="0"/>
          <w:bottom w:val="single" w:color="CCE8C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5">
    <w:name w:val="List Table 5 Dark - Accent 1"/>
    <w:basedOn w:val="35"/>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CCE8CF" w:themeColor="light1"/>
        <w:sz w:val="22"/>
        <w14:textFill>
          <w14:solidFill>
            <w14:schemeClr w14:val="lt1"/>
          </w14:solidFill>
        </w14:textFill>
      </w:rPr>
      <w:tblPr/>
      <w:tcPr>
        <w:tcBorders>
          <w:top w:val="single" w:color="4F81BD" w:themeColor="accent1" w:sz="32" w:space="0"/>
          <w:bottom w:val="single" w:color="CCE8CF" w:themeColor="light1" w:sz="12" w:space="0"/>
        </w:tcBorders>
        <w:shd w:val="clear" w:color="4F81BD" w:themeColor="accent1" w:fill="4F81BD" w:themeFill="accent1"/>
      </w:tcPr>
    </w:tblStylePr>
    <w:tblStylePr w:type="lastRow">
      <w:rPr>
        <w:rFonts w:ascii="Arial" w:hAnsi="Arial"/>
        <w:b/>
        <w:color w:val="CCE8CF" w:themeColor="light1"/>
        <w:sz w:val="22"/>
        <w14:textFill>
          <w14:solidFill>
            <w14:schemeClr w14:val="lt1"/>
          </w14:solidFill>
        </w14:textFill>
      </w:rPr>
      <w:tblPr/>
    </w:tblStylePr>
    <w:tblStylePr w:type="firstCol">
      <w:rPr>
        <w:rFonts w:ascii="Arial" w:hAnsi="Arial"/>
        <w:b/>
        <w:color w:val="CCE8CF" w:themeColor="light1"/>
        <w:sz w:val="22"/>
        <w14:textFill>
          <w14:solidFill>
            <w14:schemeClr w14:val="lt1"/>
          </w14:solidFill>
        </w14:textFill>
      </w:rPr>
      <w:tblPr/>
      <w:tcPr>
        <w:tcBorders>
          <w:left w:val="single" w:color="4F81BD" w:themeColor="accent1" w:sz="32" w:space="0"/>
          <w:right w:val="single" w:color="CCE8CF" w:themeColor="light1" w:sz="4" w:space="0"/>
        </w:tcBorders>
      </w:tcPr>
    </w:tblStylePr>
    <w:tblStylePr w:type="lastCol">
      <w:tblPr/>
      <w:tcPr>
        <w:tcBorders>
          <w:left w:val="single" w:color="CCE8CF" w:themeColor="light1" w:sz="4" w:space="0"/>
          <w:right w:val="single" w:color="4F81BD" w:themeColor="accent1" w:sz="32" w:space="0"/>
        </w:tcBorders>
      </w:tcPr>
    </w:tblStylePr>
    <w:tblStylePr w:type="band1Vert">
      <w:tblPr/>
      <w:tcPr>
        <w:tcBorders>
          <w:left w:val="single" w:color="CCE8CF" w:themeColor="light1" w:sz="4" w:space="0"/>
          <w:right w:val="single" w:color="CCE8CF" w:themeColor="light1" w:sz="4" w:space="0"/>
        </w:tcBorders>
        <w:shd w:val="clear" w:color="4F81BD" w:themeColor="accent1" w:fill="4F81BD" w:themeFill="accent1"/>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4F81BD" w:themeColor="accent1" w:fill="4F81BD" w:themeFill="accent1"/>
      </w:tcPr>
    </w:tblStylePr>
    <w:tblStylePr w:type="band2Horz">
      <w:tblPr/>
      <w:tcPr>
        <w:tcBorders>
          <w:top w:val="single" w:color="CCE8CF" w:themeColor="light1" w:sz="4" w:space="0"/>
          <w:bottom w:val="single" w:color="CCE8C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46">
    <w:name w:val="List Table 5 Dark - Accent 2"/>
    <w:basedOn w:val="35"/>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CCE8CF" w:themeColor="light1"/>
        <w:sz w:val="22"/>
        <w14:textFill>
          <w14:solidFill>
            <w14:schemeClr w14:val="lt1"/>
          </w14:solidFill>
        </w14:textFill>
      </w:rPr>
      <w:tblPr/>
      <w:tcPr>
        <w:tcBorders>
          <w:top w:val="single" w:color="D99795" w:themeColor="accent2" w:themeTint="97" w:sz="32" w:space="0"/>
          <w:bottom w:val="single" w:color="CCE8CF" w:themeColor="light1" w:sz="12" w:space="0"/>
        </w:tcBorders>
        <w:shd w:val="clear" w:color="D99795" w:themeColor="accent2" w:themeTint="97" w:fill="D99795" w:themeFill="accent2" w:themeFillTint="97"/>
      </w:tcPr>
    </w:tblStylePr>
    <w:tblStylePr w:type="lastRow">
      <w:rPr>
        <w:rFonts w:ascii="Arial" w:hAnsi="Arial"/>
        <w:b/>
        <w:color w:val="CCE8CF" w:themeColor="light1"/>
        <w:sz w:val="22"/>
        <w14:textFill>
          <w14:solidFill>
            <w14:schemeClr w14:val="lt1"/>
          </w14:solidFill>
        </w14:textFill>
      </w:rPr>
      <w:tblPr/>
    </w:tblStylePr>
    <w:tblStylePr w:type="firstCol">
      <w:rPr>
        <w:rFonts w:ascii="Arial" w:hAnsi="Arial"/>
        <w:b/>
        <w:color w:val="CCE8CF" w:themeColor="light1"/>
        <w:sz w:val="22"/>
        <w14:textFill>
          <w14:solidFill>
            <w14:schemeClr w14:val="lt1"/>
          </w14:solidFill>
        </w14:textFill>
      </w:rPr>
      <w:tblPr/>
      <w:tcPr>
        <w:tcBorders>
          <w:left w:val="single" w:color="D99795" w:themeColor="accent2" w:themeTint="97" w:sz="32" w:space="0"/>
          <w:right w:val="single" w:color="CCE8CF" w:themeColor="light1" w:sz="4" w:space="0"/>
        </w:tcBorders>
      </w:tcPr>
    </w:tblStylePr>
    <w:tblStylePr w:type="lastCol">
      <w:tblPr/>
      <w:tcPr>
        <w:tcBorders>
          <w:left w:val="single" w:color="CCE8CF" w:themeColor="light1" w:sz="4" w:space="0"/>
          <w:right w:val="single" w:color="D99795" w:themeColor="accent2" w:themeTint="97" w:sz="32" w:space="0"/>
        </w:tcBorders>
      </w:tcPr>
    </w:tblStylePr>
    <w:tblStylePr w:type="band1Vert">
      <w:tblPr/>
      <w:tcPr>
        <w:tcBorders>
          <w:left w:val="single" w:color="CCE8CF" w:themeColor="light1" w:sz="4" w:space="0"/>
          <w:right w:val="single" w:color="CCE8CF" w:themeColor="light1" w:sz="4" w:space="0"/>
        </w:tcBorders>
        <w:shd w:val="clear" w:color="D99795" w:themeColor="accent2" w:themeTint="97" w:fill="D99795" w:themeFill="accent2" w:themeFillTint="97"/>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D99795" w:themeColor="accent2" w:themeTint="97" w:fill="D99795" w:themeFill="accent2" w:themeFillTint="97"/>
      </w:tcPr>
    </w:tblStylePr>
    <w:tblStylePr w:type="band2Horz">
      <w:tblPr/>
      <w:tcPr>
        <w:tcBorders>
          <w:top w:val="single" w:color="CCE8CF" w:themeColor="light1" w:sz="4" w:space="0"/>
          <w:bottom w:val="single" w:color="CCE8C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7">
    <w:name w:val="List Table 5 Dark - Accent 3"/>
    <w:basedOn w:val="35"/>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CCE8CF" w:themeColor="light1"/>
        <w:sz w:val="22"/>
        <w14:textFill>
          <w14:solidFill>
            <w14:schemeClr w14:val="lt1"/>
          </w14:solidFill>
        </w14:textFill>
      </w:rPr>
      <w:tblPr/>
      <w:tcPr>
        <w:tcBorders>
          <w:top w:val="single" w:color="C3D69C" w:themeColor="accent3" w:themeTint="98" w:sz="32" w:space="0"/>
          <w:bottom w:val="single" w:color="CCE8CF" w:themeColor="light1" w:sz="12" w:space="0"/>
        </w:tcBorders>
        <w:shd w:val="clear" w:color="C3D69C" w:themeColor="accent3" w:themeTint="98" w:fill="C3D69C" w:themeFill="accent3" w:themeFillTint="98"/>
      </w:tcPr>
    </w:tblStylePr>
    <w:tblStylePr w:type="lastRow">
      <w:rPr>
        <w:rFonts w:ascii="Arial" w:hAnsi="Arial"/>
        <w:b/>
        <w:color w:val="CCE8CF" w:themeColor="light1"/>
        <w:sz w:val="22"/>
        <w14:textFill>
          <w14:solidFill>
            <w14:schemeClr w14:val="lt1"/>
          </w14:solidFill>
        </w14:textFill>
      </w:rPr>
      <w:tblPr/>
    </w:tblStylePr>
    <w:tblStylePr w:type="firstCol">
      <w:rPr>
        <w:rFonts w:ascii="Arial" w:hAnsi="Arial"/>
        <w:b/>
        <w:color w:val="CCE8CF" w:themeColor="light1"/>
        <w:sz w:val="22"/>
        <w14:textFill>
          <w14:solidFill>
            <w14:schemeClr w14:val="lt1"/>
          </w14:solidFill>
        </w14:textFill>
      </w:rPr>
      <w:tblPr/>
      <w:tcPr>
        <w:tcBorders>
          <w:left w:val="single" w:color="C3D69C" w:themeColor="accent3" w:themeTint="98" w:sz="32" w:space="0"/>
          <w:right w:val="single" w:color="CCE8CF" w:themeColor="light1" w:sz="4" w:space="0"/>
        </w:tcBorders>
      </w:tcPr>
    </w:tblStylePr>
    <w:tblStylePr w:type="lastCol">
      <w:tblPr/>
      <w:tcPr>
        <w:tcBorders>
          <w:left w:val="single" w:color="CCE8CF" w:themeColor="light1" w:sz="4" w:space="0"/>
          <w:right w:val="single" w:color="C3D69C" w:themeColor="accent3" w:themeTint="98" w:sz="32" w:space="0"/>
        </w:tcBorders>
      </w:tcPr>
    </w:tblStylePr>
    <w:tblStylePr w:type="band1Vert">
      <w:tblPr/>
      <w:tcPr>
        <w:tcBorders>
          <w:left w:val="single" w:color="CCE8CF" w:themeColor="light1" w:sz="4" w:space="0"/>
          <w:right w:val="single" w:color="CCE8CF" w:themeColor="light1" w:sz="4" w:space="0"/>
        </w:tcBorders>
        <w:shd w:val="clear" w:color="C3D69C" w:themeColor="accent3" w:themeTint="98" w:fill="C3D69C" w:themeFill="accent3" w:themeFillTint="98"/>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C3D69C" w:themeColor="accent3" w:themeTint="98" w:fill="C3D69C" w:themeFill="accent3" w:themeFillTint="98"/>
      </w:tcPr>
    </w:tblStylePr>
    <w:tblStylePr w:type="band2Horz">
      <w:tblPr/>
      <w:tcPr>
        <w:tcBorders>
          <w:top w:val="single" w:color="CCE8CF" w:themeColor="light1" w:sz="4" w:space="0"/>
          <w:bottom w:val="single" w:color="CCE8C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8">
    <w:name w:val="List Table 5 Dark - Accent 4"/>
    <w:basedOn w:val="35"/>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CCE8CF" w:themeColor="light1"/>
        <w:sz w:val="22"/>
        <w14:textFill>
          <w14:solidFill>
            <w14:schemeClr w14:val="lt1"/>
          </w14:solidFill>
        </w14:textFill>
      </w:rPr>
      <w:tblPr/>
      <w:tcPr>
        <w:tcBorders>
          <w:top w:val="single" w:color="B2A1C6" w:themeColor="accent4" w:themeTint="9A" w:sz="32" w:space="0"/>
          <w:bottom w:val="single" w:color="CCE8CF" w:themeColor="light1" w:sz="12" w:space="0"/>
        </w:tcBorders>
        <w:shd w:val="clear" w:color="B2A1C6" w:themeColor="accent4" w:themeTint="9A" w:fill="B2A1C6" w:themeFill="accent4" w:themeFillTint="9A"/>
      </w:tcPr>
    </w:tblStylePr>
    <w:tblStylePr w:type="lastRow">
      <w:rPr>
        <w:rFonts w:ascii="Arial" w:hAnsi="Arial"/>
        <w:b/>
        <w:color w:val="CCE8CF" w:themeColor="light1"/>
        <w:sz w:val="22"/>
        <w14:textFill>
          <w14:solidFill>
            <w14:schemeClr w14:val="lt1"/>
          </w14:solidFill>
        </w14:textFill>
      </w:rPr>
      <w:tblPr/>
    </w:tblStylePr>
    <w:tblStylePr w:type="firstCol">
      <w:rPr>
        <w:rFonts w:ascii="Arial" w:hAnsi="Arial"/>
        <w:b/>
        <w:color w:val="CCE8CF" w:themeColor="light1"/>
        <w:sz w:val="22"/>
        <w14:textFill>
          <w14:solidFill>
            <w14:schemeClr w14:val="lt1"/>
          </w14:solidFill>
        </w14:textFill>
      </w:rPr>
      <w:tblPr/>
      <w:tcPr>
        <w:tcBorders>
          <w:left w:val="single" w:color="B2A1C6" w:themeColor="accent4" w:themeTint="9A" w:sz="32" w:space="0"/>
          <w:right w:val="single" w:color="CCE8CF" w:themeColor="light1" w:sz="4" w:space="0"/>
        </w:tcBorders>
      </w:tcPr>
    </w:tblStylePr>
    <w:tblStylePr w:type="lastCol">
      <w:tblPr/>
      <w:tcPr>
        <w:tcBorders>
          <w:left w:val="single" w:color="CCE8CF" w:themeColor="light1" w:sz="4" w:space="0"/>
          <w:right w:val="single" w:color="B2A1C6" w:themeColor="accent4" w:themeTint="9A" w:sz="32" w:space="0"/>
        </w:tcBorders>
      </w:tcPr>
    </w:tblStylePr>
    <w:tblStylePr w:type="band1Vert">
      <w:tblPr/>
      <w:tcPr>
        <w:tcBorders>
          <w:left w:val="single" w:color="CCE8CF" w:themeColor="light1" w:sz="4" w:space="0"/>
          <w:right w:val="single" w:color="CCE8CF" w:themeColor="light1" w:sz="4" w:space="0"/>
        </w:tcBorders>
        <w:shd w:val="clear" w:color="B2A1C6" w:themeColor="accent4" w:themeTint="9A" w:fill="B2A1C6" w:themeFill="accent4" w:themeFillTint="9A"/>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B2A1C6" w:themeColor="accent4" w:themeTint="9A" w:fill="B2A1C6" w:themeFill="accent4" w:themeFillTint="9A"/>
      </w:tcPr>
    </w:tblStylePr>
    <w:tblStylePr w:type="band2Horz">
      <w:tblPr/>
      <w:tcPr>
        <w:tcBorders>
          <w:top w:val="single" w:color="CCE8CF" w:themeColor="light1" w:sz="4" w:space="0"/>
          <w:bottom w:val="single" w:color="CCE8C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9">
    <w:name w:val="List Table 5 Dark - Accent 5"/>
    <w:basedOn w:val="3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CCE8CF" w:themeColor="light1"/>
        <w:sz w:val="22"/>
        <w14:textFill>
          <w14:solidFill>
            <w14:schemeClr w14:val="lt1"/>
          </w14:solidFill>
        </w14:textFill>
      </w:rPr>
      <w:tblPr/>
      <w:tcPr>
        <w:tcBorders>
          <w:top w:val="single" w:color="92CCDC" w:themeColor="accent5" w:themeTint="9A" w:sz="32" w:space="0"/>
          <w:bottom w:val="single" w:color="CCE8CF" w:themeColor="light1" w:sz="12" w:space="0"/>
        </w:tcBorders>
        <w:shd w:val="clear" w:color="92CCDC" w:themeColor="accent5" w:themeTint="9A" w:fill="92CCDC" w:themeFill="accent5" w:themeFillTint="9A"/>
      </w:tcPr>
    </w:tblStylePr>
    <w:tblStylePr w:type="lastRow">
      <w:rPr>
        <w:rFonts w:ascii="Arial" w:hAnsi="Arial"/>
        <w:b/>
        <w:color w:val="CCE8CF" w:themeColor="light1"/>
        <w:sz w:val="22"/>
        <w14:textFill>
          <w14:solidFill>
            <w14:schemeClr w14:val="lt1"/>
          </w14:solidFill>
        </w14:textFill>
      </w:rPr>
      <w:tblPr/>
    </w:tblStylePr>
    <w:tblStylePr w:type="firstCol">
      <w:rPr>
        <w:rFonts w:ascii="Arial" w:hAnsi="Arial"/>
        <w:b/>
        <w:color w:val="CCE8CF" w:themeColor="light1"/>
        <w:sz w:val="22"/>
        <w14:textFill>
          <w14:solidFill>
            <w14:schemeClr w14:val="lt1"/>
          </w14:solidFill>
        </w14:textFill>
      </w:rPr>
      <w:tblPr/>
      <w:tcPr>
        <w:tcBorders>
          <w:left w:val="single" w:color="92CCDC" w:themeColor="accent5" w:themeTint="9A" w:sz="32" w:space="0"/>
          <w:right w:val="single" w:color="CCE8CF" w:themeColor="light1" w:sz="4" w:space="0"/>
        </w:tcBorders>
      </w:tcPr>
    </w:tblStylePr>
    <w:tblStylePr w:type="lastCol">
      <w:tblPr/>
      <w:tcPr>
        <w:tcBorders>
          <w:left w:val="single" w:color="CCE8CF" w:themeColor="light1" w:sz="4" w:space="0"/>
          <w:right w:val="single" w:color="92CCDC" w:themeColor="accent5" w:themeTint="9A" w:sz="32" w:space="0"/>
        </w:tcBorders>
      </w:tcPr>
    </w:tblStylePr>
    <w:tblStylePr w:type="band1Vert">
      <w:tblPr/>
      <w:tcPr>
        <w:tcBorders>
          <w:left w:val="single" w:color="CCE8CF" w:themeColor="light1" w:sz="4" w:space="0"/>
          <w:right w:val="single" w:color="CCE8CF" w:themeColor="light1" w:sz="4" w:space="0"/>
        </w:tcBorders>
        <w:shd w:val="clear" w:color="92CCDC" w:themeColor="accent5" w:themeTint="9A" w:fill="92CCDC" w:themeFill="accent5" w:themeFillTint="9A"/>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92CCDC" w:themeColor="accent5" w:themeTint="9A" w:fill="92CCDC" w:themeFill="accent5" w:themeFillTint="9A"/>
      </w:tcPr>
    </w:tblStylePr>
    <w:tblStylePr w:type="band2Horz">
      <w:tblPr/>
      <w:tcPr>
        <w:tcBorders>
          <w:top w:val="single" w:color="CCE8CF" w:themeColor="light1" w:sz="4" w:space="0"/>
          <w:bottom w:val="single" w:color="CCE8C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50">
    <w:name w:val="List Table 5 Dark - Accent 6"/>
    <w:basedOn w:val="35"/>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CCE8CF" w:themeColor="light1"/>
        <w:sz w:val="22"/>
        <w14:textFill>
          <w14:solidFill>
            <w14:schemeClr w14:val="lt1"/>
          </w14:solidFill>
        </w14:textFill>
      </w:rPr>
      <w:tblPr/>
      <w:tcPr>
        <w:tcBorders>
          <w:top w:val="single" w:color="FAC090" w:themeColor="accent6" w:themeTint="98" w:sz="32" w:space="0"/>
          <w:bottom w:val="single" w:color="CCE8CF" w:themeColor="light1" w:sz="12" w:space="0"/>
        </w:tcBorders>
        <w:shd w:val="clear" w:color="FAC090" w:themeColor="accent6" w:themeTint="98" w:fill="FAC090" w:themeFill="accent6" w:themeFillTint="98"/>
      </w:tcPr>
    </w:tblStylePr>
    <w:tblStylePr w:type="lastRow">
      <w:rPr>
        <w:rFonts w:ascii="Arial" w:hAnsi="Arial"/>
        <w:b/>
        <w:color w:val="CCE8CF" w:themeColor="light1"/>
        <w:sz w:val="22"/>
        <w14:textFill>
          <w14:solidFill>
            <w14:schemeClr w14:val="lt1"/>
          </w14:solidFill>
        </w14:textFill>
      </w:rPr>
      <w:tblPr/>
    </w:tblStylePr>
    <w:tblStylePr w:type="firstCol">
      <w:rPr>
        <w:rFonts w:ascii="Arial" w:hAnsi="Arial"/>
        <w:b/>
        <w:color w:val="CCE8CF" w:themeColor="light1"/>
        <w:sz w:val="22"/>
        <w14:textFill>
          <w14:solidFill>
            <w14:schemeClr w14:val="lt1"/>
          </w14:solidFill>
        </w14:textFill>
      </w:rPr>
      <w:tblPr/>
      <w:tcPr>
        <w:tcBorders>
          <w:left w:val="single" w:color="FAC090" w:themeColor="accent6" w:themeTint="98" w:sz="32" w:space="0"/>
          <w:right w:val="single" w:color="CCE8CF" w:themeColor="light1" w:sz="4" w:space="0"/>
        </w:tcBorders>
      </w:tcPr>
    </w:tblStylePr>
    <w:tblStylePr w:type="lastCol">
      <w:tblPr/>
      <w:tcPr>
        <w:tcBorders>
          <w:left w:val="single" w:color="CCE8CF" w:themeColor="light1" w:sz="4" w:space="0"/>
          <w:right w:val="single" w:color="FAC090" w:themeColor="accent6" w:themeTint="98" w:sz="32" w:space="0"/>
        </w:tcBorders>
      </w:tcPr>
    </w:tblStylePr>
    <w:tblStylePr w:type="band1Vert">
      <w:tblPr/>
      <w:tcPr>
        <w:tcBorders>
          <w:left w:val="single" w:color="CCE8CF" w:themeColor="light1" w:sz="4" w:space="0"/>
          <w:right w:val="single" w:color="CCE8CF" w:themeColor="light1" w:sz="4" w:space="0"/>
        </w:tcBorders>
        <w:shd w:val="clear" w:color="FAC090" w:themeColor="accent6" w:themeTint="98" w:fill="FAC090" w:themeFill="accent6" w:themeFillTint="98"/>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FAC090" w:themeColor="accent6" w:themeTint="98" w:fill="FAC090" w:themeFill="accent6" w:themeFillTint="98"/>
      </w:tcPr>
    </w:tblStylePr>
    <w:tblStylePr w:type="band2Horz">
      <w:tblPr/>
      <w:tcPr>
        <w:tcBorders>
          <w:top w:val="single" w:color="CCE8CF" w:themeColor="light1" w:sz="4" w:space="0"/>
          <w:bottom w:val="single" w:color="CCE8C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51">
    <w:name w:val="List Table 6 Colorful"/>
    <w:basedOn w:val="35"/>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1"/>
    <w:basedOn w:val="35"/>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6 Colorful - Accent 2"/>
    <w:basedOn w:val="35"/>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6 Colorful - Accent 3"/>
    <w:basedOn w:val="35"/>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6 Colorful - Accent 4"/>
    <w:basedOn w:val="35"/>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6 Colorful - Accent 5"/>
    <w:basedOn w:val="3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6 Colorful - Accent 6"/>
    <w:basedOn w:val="35"/>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w:basedOn w:val="35"/>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CCE8CF" w:themeColor="light1" w:fill="CCE8C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CCE8CF" w:themeColor="light1" w:fill="CCE8C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1"/>
    <w:basedOn w:val="35"/>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CCE8CF" w:themeColor="light1" w:fill="CCE8C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CCE8CF" w:themeColor="light1" w:fill="CCE8C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60">
    <w:name w:val="List Table 7 Colorful - Accent 2"/>
    <w:basedOn w:val="35"/>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CCE8CF" w:themeColor="light1" w:fill="CCE8C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CCE8CF" w:themeColor="light1" w:fill="CCE8C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1">
    <w:name w:val="List Table 7 Colorful - Accent 3"/>
    <w:basedOn w:val="35"/>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CCE8CF" w:themeColor="light1" w:fill="CCE8C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CCE8CF" w:themeColor="light1" w:fill="CCE8C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2">
    <w:name w:val="List Table 7 Colorful - Accent 4"/>
    <w:basedOn w:val="35"/>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CCE8CF" w:themeColor="light1" w:fill="CCE8C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CCE8CF" w:themeColor="light1" w:fill="CCE8C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3">
    <w:name w:val="List Table 7 Colorful - Accent 5"/>
    <w:basedOn w:val="35"/>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CCE8CF" w:themeColor="light1" w:fill="CCE8C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CCE8CF" w:themeColor="light1" w:fill="CCE8C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4">
    <w:name w:val="List Table 7 Colorful - Accent 6"/>
    <w:basedOn w:val="35"/>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CCE8CF" w:themeColor="light1" w:fill="CCE8C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CCE8CF" w:themeColor="light1" w:fill="CCE8C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5">
    <w:name w:val="Lined - Accent"/>
    <w:basedOn w:val="35"/>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Lined - Accent 1"/>
    <w:basedOn w:val="35"/>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Lined - Accent 2"/>
    <w:basedOn w:val="35"/>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Lined - Accent 3"/>
    <w:basedOn w:val="35"/>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Lined - Accent 4"/>
    <w:basedOn w:val="35"/>
    <w:qFormat/>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Lined - Accent 5"/>
    <w:basedOn w:val="3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Lined - Accent 6"/>
    <w:basedOn w:val="35"/>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w:basedOn w:val="35"/>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73">
    <w:name w:val="Bordered &amp; Lined - Accent 1"/>
    <w:basedOn w:val="35"/>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74">
    <w:name w:val="Bordered &amp; Lined - Accent 2"/>
    <w:basedOn w:val="35"/>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75">
    <w:name w:val="Bordered &amp; Lined - Accent 3"/>
    <w:basedOn w:val="35"/>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76">
    <w:name w:val="Bordered &amp; Lined - Accent 4"/>
    <w:basedOn w:val="35"/>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7">
    <w:name w:val="Bordered &amp; Lined - Accent 5"/>
    <w:basedOn w:val="3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8">
    <w:name w:val="Bordered &amp; Lined - Accent 6"/>
    <w:basedOn w:val="35"/>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9">
    <w:name w:val="Bordered"/>
    <w:basedOn w:val="35"/>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1"/>
    <w:basedOn w:val="35"/>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1">
    <w:name w:val="Bordered - Accent 2"/>
    <w:basedOn w:val="35"/>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2">
    <w:name w:val="Bordered - Accent 3"/>
    <w:basedOn w:val="35"/>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3">
    <w:name w:val="Bordered - Accent 4"/>
    <w:basedOn w:val="35"/>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4">
    <w:name w:val="Bordered - Accent 5"/>
    <w:basedOn w:val="3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5">
    <w:name w:val="Bordered - Accent 6"/>
    <w:basedOn w:val="35"/>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6">
    <w:name w:val="Footnote Text Char"/>
    <w:link w:val="27"/>
    <w:qFormat/>
    <w:uiPriority w:val="99"/>
    <w:rPr>
      <w:sz w:val="18"/>
    </w:rPr>
  </w:style>
  <w:style w:type="character" w:customStyle="1" w:styleId="187">
    <w:name w:val="Endnote Text Char"/>
    <w:link w:val="20"/>
    <w:qFormat/>
    <w:uiPriority w:val="99"/>
    <w:rPr>
      <w:sz w:val="20"/>
    </w:rPr>
  </w:style>
  <w:style w:type="paragraph" w:customStyle="1" w:styleId="188">
    <w:name w:val="TOC Heading"/>
    <w:unhideWhenUsed/>
    <w:qFormat/>
    <w:uiPriority w:val="39"/>
    <w:rPr>
      <w:rFonts w:hint="default" w:ascii="Times New Roman" w:hAnsi="Times New Roman" w:eastAsia="宋体" w:cs="Times New Roman"/>
    </w:rPr>
  </w:style>
  <w:style w:type="character" w:customStyle="1" w:styleId="189">
    <w:name w:val="页眉 Char"/>
    <w:basedOn w:val="37"/>
    <w:link w:val="23"/>
    <w:qFormat/>
    <w:uiPriority w:val="99"/>
    <w:rPr>
      <w:sz w:val="18"/>
      <w:szCs w:val="18"/>
    </w:rPr>
  </w:style>
  <w:style w:type="character" w:customStyle="1" w:styleId="190">
    <w:name w:val="页脚 Char"/>
    <w:basedOn w:val="37"/>
    <w:link w:val="22"/>
    <w:qFormat/>
    <w:uiPriority w:val="99"/>
    <w:rPr>
      <w:sz w:val="18"/>
      <w:szCs w:val="18"/>
    </w:rPr>
  </w:style>
  <w:style w:type="paragraph" w:styleId="191">
    <w:name w:val="List Paragraph"/>
    <w:basedOn w:val="1"/>
    <w:qFormat/>
    <w:uiPriority w:val="34"/>
    <w:pPr>
      <w:ind w:firstLine="420"/>
    </w:pPr>
  </w:style>
  <w:style w:type="character" w:customStyle="1" w:styleId="192">
    <w:name w:val="批注框文本 Char"/>
    <w:basedOn w:val="37"/>
    <w:link w:val="21"/>
    <w:semiHidden/>
    <w:qFormat/>
    <w:uiPriority w:val="99"/>
    <w:rPr>
      <w:sz w:val="18"/>
      <w:szCs w:val="18"/>
    </w:rPr>
  </w:style>
  <w:style w:type="character" w:customStyle="1" w:styleId="193">
    <w:name w:val="日期 Char"/>
    <w:basedOn w:val="37"/>
    <w:link w:val="18"/>
    <w:semiHidden/>
    <w:qFormat/>
    <w:uiPriority w:val="99"/>
  </w:style>
  <w:style w:type="character" w:customStyle="1" w:styleId="194">
    <w:name w:val="标题 1 Char"/>
    <w:basedOn w:val="37"/>
    <w:link w:val="2"/>
    <w:qFormat/>
    <w:uiPriority w:val="9"/>
    <w:rPr>
      <w:b/>
      <w:bCs/>
      <w:sz w:val="44"/>
      <w:szCs w:val="44"/>
    </w:rPr>
  </w:style>
  <w:style w:type="character" w:customStyle="1" w:styleId="195">
    <w:name w:val="标题 2 Char"/>
    <w:basedOn w:val="37"/>
    <w:link w:val="3"/>
    <w:qFormat/>
    <w:uiPriority w:val="9"/>
    <w:rPr>
      <w:rFonts w:asciiTheme="majorHAnsi" w:hAnsiTheme="majorHAnsi" w:eastAsiaTheme="majorEastAsia" w:cstheme="majorBidi"/>
      <w:b/>
      <w:bCs/>
      <w:sz w:val="32"/>
      <w:szCs w:val="32"/>
    </w:rPr>
  </w:style>
  <w:style w:type="paragraph" w:customStyle="1" w:styleId="196">
    <w:name w:val="Table Text"/>
    <w:basedOn w:val="1"/>
    <w:semiHidden/>
    <w:qFormat/>
    <w:uiPriority w:val="0"/>
    <w:pPr>
      <w:widowControl/>
      <w:jc w:val="left"/>
    </w:pPr>
    <w:rPr>
      <w:rFonts w:ascii="宋体" w:hAnsi="宋体" w:eastAsia="宋体" w:cs="宋体"/>
      <w:color w:val="000000"/>
      <w:szCs w:val="21"/>
      <w:lang w:eastAsia="en-US"/>
    </w:rPr>
  </w:style>
  <w:style w:type="paragraph" w:customStyle="1" w:styleId="197">
    <w:name w:val="列表编号1"/>
    <w:basedOn w:val="1"/>
    <w:qFormat/>
    <w:uiPriority w:val="0"/>
    <w:pPr>
      <w:ind w:hanging="200"/>
    </w:pPr>
    <w:rPr>
      <w:rFonts w:ascii="Calibri" w:hAnsi="Calibri" w:eastAsia="宋体" w:cs="Times New Roman"/>
      <w:szCs w:val="24"/>
    </w:rPr>
  </w:style>
  <w:style w:type="character" w:customStyle="1" w:styleId="198">
    <w:name w:val="正文文本缩进 2 Char"/>
    <w:basedOn w:val="37"/>
    <w:link w:val="19"/>
    <w:qFormat/>
    <w:uiPriority w:val="0"/>
    <w:rPr>
      <w:rFonts w:ascii="Calibri" w:hAnsi="Calibri" w:eastAsia="仿宋_GB2312"/>
      <w:sz w:val="21"/>
      <w:szCs w:val="24"/>
    </w:rPr>
  </w:style>
  <w:style w:type="character" w:customStyle="1" w:styleId="199">
    <w:name w:val="正文文本缩进 Char"/>
    <w:basedOn w:val="37"/>
    <w:link w:val="14"/>
    <w:semiHidden/>
    <w:qFormat/>
    <w:uiPriority w:val="99"/>
    <w:rPr>
      <w:rFonts w:asciiTheme="minorHAnsi" w:hAnsiTheme="minorHAnsi" w:eastAsiaTheme="minorEastAsia" w:cstheme="minorBidi"/>
      <w:sz w:val="21"/>
      <w:szCs w:val="22"/>
    </w:rPr>
  </w:style>
  <w:style w:type="character" w:customStyle="1" w:styleId="200">
    <w:name w:val="正文首行缩进 2 Char"/>
    <w:basedOn w:val="199"/>
    <w:link w:val="3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E5B3AA-D90F-4A2F-A532-A99BBA4416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86</Words>
  <Characters>92</Characters>
  <TotalTime>1</TotalTime>
  <ScaleCrop>false</ScaleCrop>
  <LinksUpToDate>false</LinksUpToDate>
  <CharactersWithSpaces>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2018-04-25T03:29:00Z</dcterms:created>
  <dc:creator>冯妍妍/预算绩效管理处（行资处）/湖北省财政厅</dc:creator>
  <cp:lastModifiedBy>杨柳湖边</cp:lastModifiedBy>
  <dcterms:modified xsi:type="dcterms:W3CDTF">2026-06-05T01:48:47Z</dcterms:modified>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38F47CDD7EE840D1B56D20AA4EA73F80_13</vt:lpwstr>
  </property>
  <property fmtid="{D5CDD505-2E9C-101B-9397-08002B2CF9AE}" pid="4" name="KSOTemplateDocerSaveRecord">
    <vt:lpwstr>eyJoZGlkIjoiZTRkZTZiM2M4ZjA5ZDcxYWU1MTVhZTAzZjFhZmVkZmYiLCJ1c2VySWQiOiI3NTgzOTk3OTcifQ==</vt:lpwstr>
  </property>
</Properties>
</file>