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904" w:rsidRDefault="007F7784">
      <w:pPr>
        <w:adjustRightInd w:val="0"/>
        <w:snapToGrid w:val="0"/>
        <w:spacing w:line="360" w:lineRule="auto"/>
        <w:ind w:firstLineChars="200" w:firstLine="883"/>
        <w:rPr>
          <w:rFonts w:asciiTheme="majorEastAsia" w:eastAsiaTheme="majorEastAsia" w:hAnsiTheme="majorEastAsia" w:cstheme="majorEastAsia"/>
          <w:sz w:val="36"/>
          <w:szCs w:val="36"/>
        </w:rPr>
      </w:pPr>
      <w:r>
        <w:rPr>
          <w:rFonts w:asciiTheme="majorEastAsia" w:eastAsiaTheme="majorEastAsia" w:hAnsiTheme="majorEastAsia" w:cstheme="majorEastAsia" w:hint="eastAsia"/>
          <w:b/>
          <w:bCs/>
          <w:sz w:val="44"/>
          <w:szCs w:val="44"/>
        </w:rPr>
        <w:t xml:space="preserve"> </w:t>
      </w:r>
      <w:r>
        <w:rPr>
          <w:rFonts w:asciiTheme="majorEastAsia" w:eastAsiaTheme="majorEastAsia" w:hAnsiTheme="majorEastAsia" w:cstheme="majorEastAsia" w:hint="eastAsia"/>
          <w:b/>
          <w:bCs/>
          <w:sz w:val="36"/>
          <w:szCs w:val="36"/>
        </w:rPr>
        <w:t>2018年市直部门整体支出绩效自评报告</w:t>
      </w:r>
    </w:p>
    <w:p w:rsidR="000B4904" w:rsidRDefault="007F7784">
      <w:pPr>
        <w:adjustRightInd w:val="0"/>
        <w:snapToGrid w:val="0"/>
        <w:spacing w:line="360" w:lineRule="auto"/>
        <w:ind w:firstLineChars="200" w:firstLine="562"/>
        <w:jc w:val="center"/>
        <w:rPr>
          <w:rFonts w:asciiTheme="majorEastAsia" w:eastAsiaTheme="majorEastAsia" w:hAnsiTheme="majorEastAsia" w:cstheme="majorEastAsia"/>
          <w:b/>
          <w:bCs/>
          <w:sz w:val="28"/>
          <w:szCs w:val="28"/>
        </w:rPr>
      </w:pPr>
      <w:r>
        <w:rPr>
          <w:rFonts w:asciiTheme="majorEastAsia" w:eastAsiaTheme="majorEastAsia" w:hAnsiTheme="majorEastAsia" w:cstheme="majorEastAsia" w:hint="eastAsia"/>
          <w:b/>
          <w:bCs/>
          <w:sz w:val="28"/>
          <w:szCs w:val="28"/>
        </w:rPr>
        <w:t>（随州市统计局）</w:t>
      </w:r>
    </w:p>
    <w:p w:rsidR="000B4904" w:rsidRDefault="007F7784">
      <w:pPr>
        <w:adjustRightInd w:val="0"/>
        <w:snapToGrid w:val="0"/>
        <w:spacing w:after="506" w:line="360" w:lineRule="auto"/>
        <w:contextualSpacing/>
        <w:rPr>
          <w:rFonts w:asciiTheme="majorEastAsia" w:eastAsiaTheme="majorEastAsia" w:hAnsiTheme="majorEastAsia" w:cstheme="majorEastAsia"/>
          <w:b/>
          <w:bCs/>
          <w:sz w:val="24"/>
          <w:szCs w:val="24"/>
        </w:rPr>
      </w:pPr>
      <w:r>
        <w:rPr>
          <w:rFonts w:asciiTheme="majorEastAsia" w:eastAsiaTheme="majorEastAsia" w:hAnsiTheme="majorEastAsia" w:cstheme="majorEastAsia" w:hint="eastAsia"/>
          <w:b/>
          <w:bCs/>
          <w:sz w:val="24"/>
          <w:szCs w:val="24"/>
        </w:rPr>
        <w:t>一、绩效自评得分及绩效等级情况</w:t>
      </w:r>
    </w:p>
    <w:p w:rsidR="000B4904" w:rsidRDefault="007F7784">
      <w:pPr>
        <w:adjustRightInd w:val="0"/>
        <w:snapToGrid w:val="0"/>
        <w:spacing w:after="506" w:line="360" w:lineRule="auto"/>
        <w:ind w:firstLineChars="200" w:firstLine="480"/>
        <w:contextualSpacing/>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1.1 自评得分</w:t>
      </w:r>
    </w:p>
    <w:p w:rsidR="000B4904" w:rsidRDefault="007F7784">
      <w:pPr>
        <w:adjustRightInd w:val="0"/>
        <w:snapToGrid w:val="0"/>
        <w:spacing w:after="506" w:line="360" w:lineRule="auto"/>
        <w:ind w:left="-17" w:firstLine="561"/>
        <w:contextualSpacing/>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通过评价分析，2017年度随州市统计局部</w:t>
      </w:r>
      <w:proofErr w:type="gramStart"/>
      <w:r>
        <w:rPr>
          <w:rFonts w:asciiTheme="majorEastAsia" w:eastAsiaTheme="majorEastAsia" w:hAnsiTheme="majorEastAsia" w:cstheme="majorEastAsia" w:hint="eastAsia"/>
          <w:sz w:val="24"/>
          <w:szCs w:val="24"/>
        </w:rPr>
        <w:t>门整体</w:t>
      </w:r>
      <w:proofErr w:type="gramEnd"/>
      <w:r>
        <w:rPr>
          <w:rFonts w:asciiTheme="majorEastAsia" w:eastAsiaTheme="majorEastAsia" w:hAnsiTheme="majorEastAsia" w:cstheme="majorEastAsia" w:hint="eastAsia"/>
          <w:sz w:val="24"/>
          <w:szCs w:val="24"/>
        </w:rPr>
        <w:t>绩效自评得分</w:t>
      </w:r>
      <w:r w:rsidR="000D7455">
        <w:rPr>
          <w:rFonts w:asciiTheme="majorEastAsia" w:eastAsiaTheme="majorEastAsia" w:hAnsiTheme="majorEastAsia" w:cstheme="majorEastAsia" w:hint="eastAsia"/>
          <w:color w:val="FF0000"/>
          <w:sz w:val="24"/>
          <w:szCs w:val="24"/>
        </w:rPr>
        <w:t>93</w:t>
      </w:r>
      <w:r>
        <w:rPr>
          <w:rFonts w:asciiTheme="majorEastAsia" w:eastAsiaTheme="majorEastAsia" w:hAnsiTheme="majorEastAsia" w:cstheme="majorEastAsia" w:hint="eastAsia"/>
          <w:color w:val="FF0000"/>
          <w:sz w:val="24"/>
          <w:szCs w:val="24"/>
        </w:rPr>
        <w:t>分</w:t>
      </w:r>
      <w:r>
        <w:rPr>
          <w:rFonts w:asciiTheme="majorEastAsia" w:eastAsiaTheme="majorEastAsia" w:hAnsiTheme="majorEastAsia" w:cstheme="majorEastAsia" w:hint="eastAsia"/>
          <w:sz w:val="24"/>
          <w:szCs w:val="24"/>
        </w:rPr>
        <w:t>。</w:t>
      </w:r>
    </w:p>
    <w:p w:rsidR="000B4904" w:rsidRDefault="007F7784">
      <w:pPr>
        <w:adjustRightInd w:val="0"/>
        <w:snapToGrid w:val="0"/>
        <w:spacing w:after="506" w:line="360" w:lineRule="auto"/>
        <w:ind w:left="-17" w:firstLine="561"/>
        <w:contextualSpacing/>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1.2 绩效等级评价结果等级为</w:t>
      </w:r>
      <w:r>
        <w:rPr>
          <w:rFonts w:asciiTheme="majorEastAsia" w:eastAsiaTheme="majorEastAsia" w:hAnsiTheme="majorEastAsia" w:cstheme="majorEastAsia" w:hint="eastAsia"/>
          <w:color w:val="FF0000"/>
          <w:sz w:val="24"/>
          <w:szCs w:val="24"/>
        </w:rPr>
        <w:t xml:space="preserve"> A+</w:t>
      </w:r>
      <w:r>
        <w:rPr>
          <w:rFonts w:asciiTheme="majorEastAsia" w:eastAsiaTheme="majorEastAsia" w:hAnsiTheme="majorEastAsia" w:cstheme="majorEastAsia" w:hint="eastAsia"/>
          <w:sz w:val="24"/>
          <w:szCs w:val="24"/>
        </w:rPr>
        <w:t>，本次部门整体支出绩效评价结果级别为“</w:t>
      </w:r>
      <w:r>
        <w:rPr>
          <w:rFonts w:asciiTheme="majorEastAsia" w:eastAsiaTheme="majorEastAsia" w:hAnsiTheme="majorEastAsia" w:cstheme="majorEastAsia" w:hint="eastAsia"/>
          <w:color w:val="FF0000"/>
          <w:sz w:val="24"/>
          <w:szCs w:val="24"/>
        </w:rPr>
        <w:t>优</w:t>
      </w:r>
      <w:r>
        <w:rPr>
          <w:rFonts w:asciiTheme="majorEastAsia" w:eastAsiaTheme="majorEastAsia" w:hAnsiTheme="majorEastAsia" w:cstheme="majorEastAsia" w:hint="eastAsia"/>
          <w:sz w:val="24"/>
          <w:szCs w:val="24"/>
        </w:rPr>
        <w:t>”。项目与目前政策相符。项目立项规范、合理，资金到位及时、使用合</w:t>
      </w:r>
      <w:proofErr w:type="gramStart"/>
      <w:r>
        <w:rPr>
          <w:rFonts w:asciiTheme="majorEastAsia" w:eastAsiaTheme="majorEastAsia" w:hAnsiTheme="majorEastAsia" w:cstheme="majorEastAsia" w:hint="eastAsia"/>
          <w:sz w:val="24"/>
          <w:szCs w:val="24"/>
        </w:rPr>
        <w:t>规</w:t>
      </w:r>
      <w:proofErr w:type="gramEnd"/>
      <w:r>
        <w:rPr>
          <w:rFonts w:asciiTheme="majorEastAsia" w:eastAsiaTheme="majorEastAsia" w:hAnsiTheme="majorEastAsia" w:cstheme="majorEastAsia" w:hint="eastAsia"/>
          <w:sz w:val="24"/>
          <w:szCs w:val="24"/>
        </w:rPr>
        <w:t>、监控有效，工作及财务管理制度健全、执行有效、项目质量可控，项目实际支出没有超预算，总体满意度、服务</w:t>
      </w:r>
      <w:proofErr w:type="gramStart"/>
      <w:r>
        <w:rPr>
          <w:rFonts w:asciiTheme="majorEastAsia" w:eastAsiaTheme="majorEastAsia" w:hAnsiTheme="majorEastAsia" w:cstheme="majorEastAsia" w:hint="eastAsia"/>
          <w:sz w:val="24"/>
          <w:szCs w:val="24"/>
        </w:rPr>
        <w:t>履</w:t>
      </w:r>
      <w:proofErr w:type="gramEnd"/>
      <w:r>
        <w:rPr>
          <w:rFonts w:asciiTheme="majorEastAsia" w:eastAsiaTheme="majorEastAsia" w:hAnsiTheme="majorEastAsia" w:cstheme="majorEastAsia" w:hint="eastAsia"/>
          <w:sz w:val="24"/>
          <w:szCs w:val="24"/>
        </w:rPr>
        <w:t xml:space="preserve">职工作方面满意度等综合满意度高，达到了预定目标。 </w:t>
      </w:r>
    </w:p>
    <w:p w:rsidR="000B4904" w:rsidRDefault="007F7784">
      <w:pPr>
        <w:adjustRightInd w:val="0"/>
        <w:snapToGrid w:val="0"/>
        <w:spacing w:after="506" w:line="360" w:lineRule="auto"/>
        <w:contextualSpacing/>
        <w:rPr>
          <w:rFonts w:asciiTheme="majorEastAsia" w:eastAsiaTheme="majorEastAsia" w:hAnsiTheme="majorEastAsia" w:cstheme="majorEastAsia"/>
          <w:b/>
          <w:bCs/>
          <w:kern w:val="44"/>
          <w:sz w:val="24"/>
          <w:szCs w:val="24"/>
        </w:rPr>
      </w:pPr>
      <w:r>
        <w:rPr>
          <w:rFonts w:asciiTheme="majorEastAsia" w:eastAsiaTheme="majorEastAsia" w:hAnsiTheme="majorEastAsia" w:cstheme="majorEastAsia" w:hint="eastAsia"/>
          <w:sz w:val="24"/>
          <w:szCs w:val="24"/>
        </w:rPr>
        <w:t>二</w:t>
      </w:r>
      <w:r>
        <w:rPr>
          <w:rFonts w:asciiTheme="majorEastAsia" w:eastAsiaTheme="majorEastAsia" w:hAnsiTheme="majorEastAsia" w:cstheme="majorEastAsia" w:hint="eastAsia"/>
          <w:b/>
          <w:bCs/>
          <w:kern w:val="44"/>
          <w:sz w:val="24"/>
          <w:szCs w:val="24"/>
        </w:rPr>
        <w:t>、基本情况</w:t>
      </w:r>
      <w:bookmarkStart w:id="0" w:name="_Toc452659690"/>
    </w:p>
    <w:p w:rsidR="000B4904" w:rsidRDefault="007F7784">
      <w:pPr>
        <w:adjustRightInd w:val="0"/>
        <w:snapToGrid w:val="0"/>
        <w:spacing w:line="360" w:lineRule="auto"/>
        <w:ind w:firstLineChars="200" w:firstLine="482"/>
        <w:rPr>
          <w:rFonts w:asciiTheme="majorEastAsia" w:eastAsiaTheme="majorEastAsia" w:hAnsiTheme="majorEastAsia" w:cstheme="majorEastAsia"/>
          <w:b/>
          <w:bCs/>
          <w:sz w:val="24"/>
          <w:szCs w:val="24"/>
        </w:rPr>
      </w:pPr>
      <w:r>
        <w:rPr>
          <w:rFonts w:asciiTheme="majorEastAsia" w:eastAsiaTheme="majorEastAsia" w:hAnsiTheme="majorEastAsia" w:cstheme="majorEastAsia" w:hint="eastAsia"/>
          <w:b/>
          <w:bCs/>
          <w:sz w:val="24"/>
          <w:szCs w:val="24"/>
        </w:rPr>
        <w:t>2.1  部门概况</w:t>
      </w:r>
      <w:bookmarkStart w:id="1" w:name="_Toc452659691"/>
      <w:bookmarkEnd w:id="0"/>
    </w:p>
    <w:p w:rsidR="000B4904" w:rsidRDefault="007F7784">
      <w:pPr>
        <w:adjustRightInd w:val="0"/>
        <w:snapToGrid w:val="0"/>
        <w:spacing w:line="360" w:lineRule="auto"/>
        <w:ind w:firstLineChars="200" w:firstLine="482"/>
        <w:rPr>
          <w:rFonts w:asciiTheme="majorEastAsia" w:eastAsiaTheme="majorEastAsia" w:hAnsiTheme="majorEastAsia" w:cstheme="majorEastAsia"/>
          <w:b/>
          <w:bCs/>
          <w:sz w:val="24"/>
          <w:szCs w:val="24"/>
        </w:rPr>
      </w:pPr>
      <w:r>
        <w:rPr>
          <w:rFonts w:asciiTheme="majorEastAsia" w:eastAsiaTheme="majorEastAsia" w:hAnsiTheme="majorEastAsia" w:cstheme="majorEastAsia" w:hint="eastAsia"/>
          <w:b/>
          <w:bCs/>
          <w:sz w:val="24"/>
          <w:szCs w:val="24"/>
        </w:rPr>
        <w:t>2.1.1  部门基本情况</w:t>
      </w:r>
      <w:bookmarkEnd w:id="1"/>
    </w:p>
    <w:p w:rsidR="000B4904" w:rsidRDefault="007F7784">
      <w:pPr>
        <w:adjustRightInd w:val="0"/>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随州市统计局机关行政编制为19名。现实有在职行政编制人员18名，以钱养事人员1名，退休人员6名，内设10个科（室）。直属事业单位2个：市普查中心和市城市社会经济调查队。</w:t>
      </w:r>
    </w:p>
    <w:p w:rsidR="000B4904" w:rsidRDefault="007F7784">
      <w:pPr>
        <w:pStyle w:val="3"/>
        <w:adjustRightInd w:val="0"/>
        <w:snapToGrid w:val="0"/>
        <w:spacing w:line="360" w:lineRule="auto"/>
        <w:ind w:firstLine="482"/>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2.1.2  部门年度主要工作任务</w:t>
      </w:r>
    </w:p>
    <w:p w:rsidR="000B4904" w:rsidRDefault="007F7784">
      <w:pPr>
        <w:adjustRightInd w:val="0"/>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深化“两学一做”学习教育；全面开展全国第三次农业普查工作；开展2017年投入产出调查工作；坚持依法统计，狠抓统计数据质量；加强各级统计机构规范化建设，开展各类业务培训；强化服务意识和服务能力，创新统计产品模式和载体；丰富经济发展的</w:t>
      </w:r>
      <w:proofErr w:type="gramStart"/>
      <w:r>
        <w:rPr>
          <w:rFonts w:asciiTheme="majorEastAsia" w:eastAsiaTheme="majorEastAsia" w:hAnsiTheme="majorEastAsia" w:cstheme="majorEastAsia" w:hint="eastAsia"/>
          <w:sz w:val="24"/>
          <w:szCs w:val="24"/>
        </w:rPr>
        <w:t>研</w:t>
      </w:r>
      <w:proofErr w:type="gramEnd"/>
      <w:r>
        <w:rPr>
          <w:rFonts w:asciiTheme="majorEastAsia" w:eastAsiaTheme="majorEastAsia" w:hAnsiTheme="majorEastAsia" w:cstheme="majorEastAsia" w:hint="eastAsia"/>
          <w:sz w:val="24"/>
          <w:szCs w:val="24"/>
        </w:rPr>
        <w:t>判和预警，拓展社情民意调查分析等。</w:t>
      </w:r>
    </w:p>
    <w:p w:rsidR="000B4904" w:rsidRDefault="007F7784">
      <w:pPr>
        <w:adjustRightInd w:val="0"/>
        <w:snapToGrid w:val="0"/>
        <w:spacing w:line="360" w:lineRule="auto"/>
        <w:ind w:firstLineChars="200" w:firstLine="482"/>
        <w:rPr>
          <w:rFonts w:asciiTheme="majorEastAsia" w:eastAsiaTheme="majorEastAsia" w:hAnsiTheme="majorEastAsia" w:cstheme="majorEastAsia"/>
          <w:b/>
          <w:bCs/>
          <w:sz w:val="24"/>
          <w:szCs w:val="24"/>
        </w:rPr>
      </w:pPr>
      <w:r>
        <w:rPr>
          <w:rFonts w:asciiTheme="majorEastAsia" w:eastAsiaTheme="majorEastAsia" w:hAnsiTheme="majorEastAsia" w:cstheme="majorEastAsia" w:hint="eastAsia"/>
          <w:b/>
          <w:bCs/>
          <w:sz w:val="24"/>
          <w:szCs w:val="24"/>
        </w:rPr>
        <w:t>2.1.3  项目实施情况</w:t>
      </w:r>
    </w:p>
    <w:p w:rsidR="000B4904" w:rsidRDefault="007F7784">
      <w:pPr>
        <w:adjustRightInd w:val="0"/>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2.1.3.1  项目的构成。</w:t>
      </w:r>
    </w:p>
    <w:p w:rsidR="000B4904" w:rsidRDefault="007F7784">
      <w:pPr>
        <w:adjustRightInd w:val="0"/>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本项目由基本支出和项目支出两部分构成。支出预算数合计831.06万元。</w:t>
      </w:r>
    </w:p>
    <w:p w:rsidR="000B4904" w:rsidRDefault="007F7784">
      <w:pPr>
        <w:adjustRightInd w:val="0"/>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基本支出主要包括人员工资福利支出、对个人和家庭的补助支出、商品和服务日常经费支出等。2017年基本支出预算数为350.20万元。</w:t>
      </w:r>
    </w:p>
    <w:p w:rsidR="000B4904" w:rsidRDefault="007F7784">
      <w:pPr>
        <w:adjustRightInd w:val="0"/>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项目支出主要包括第三次农业普查经费和统计专项经费。2017年项目支出预算数为</w:t>
      </w:r>
      <w:bookmarkStart w:id="2" w:name="OLE_LINK2"/>
      <w:r>
        <w:rPr>
          <w:rFonts w:asciiTheme="majorEastAsia" w:eastAsiaTheme="majorEastAsia" w:hAnsiTheme="majorEastAsia" w:cstheme="majorEastAsia" w:hint="eastAsia"/>
          <w:sz w:val="24"/>
          <w:szCs w:val="24"/>
        </w:rPr>
        <w:t>480.86</w:t>
      </w:r>
      <w:bookmarkEnd w:id="2"/>
      <w:r>
        <w:rPr>
          <w:rFonts w:asciiTheme="majorEastAsia" w:eastAsiaTheme="majorEastAsia" w:hAnsiTheme="majorEastAsia" w:cstheme="majorEastAsia" w:hint="eastAsia"/>
          <w:sz w:val="24"/>
          <w:szCs w:val="24"/>
        </w:rPr>
        <w:t>万元。</w:t>
      </w:r>
    </w:p>
    <w:p w:rsidR="000B4904" w:rsidRDefault="007F7784">
      <w:pPr>
        <w:adjustRightInd w:val="0"/>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2.1.3.2  项目执行情况。</w:t>
      </w:r>
    </w:p>
    <w:p w:rsidR="000B4904" w:rsidRDefault="007F7784">
      <w:pPr>
        <w:adjustRightInd w:val="0"/>
        <w:snapToGrid w:val="0"/>
        <w:spacing w:line="360" w:lineRule="auto"/>
        <w:ind w:firstLineChars="200" w:firstLine="480"/>
        <w:rPr>
          <w:rFonts w:asciiTheme="majorEastAsia" w:eastAsiaTheme="majorEastAsia" w:hAnsiTheme="majorEastAsia" w:cstheme="majorEastAsia"/>
          <w:color w:val="000000"/>
          <w:sz w:val="24"/>
          <w:szCs w:val="24"/>
        </w:rPr>
      </w:pPr>
      <w:r>
        <w:rPr>
          <w:rFonts w:asciiTheme="majorEastAsia" w:eastAsiaTheme="majorEastAsia" w:hAnsiTheme="majorEastAsia" w:cstheme="majorEastAsia" w:hint="eastAsia"/>
          <w:color w:val="000000"/>
          <w:sz w:val="24"/>
          <w:szCs w:val="24"/>
        </w:rPr>
        <w:t>2017年度调整后的预算为704.23万元，实际收入为704.23万元（</w:t>
      </w:r>
      <w:proofErr w:type="gramStart"/>
      <w:r>
        <w:rPr>
          <w:rFonts w:asciiTheme="majorEastAsia" w:eastAsiaTheme="majorEastAsia" w:hAnsiTheme="majorEastAsia" w:cstheme="majorEastAsia" w:hint="eastAsia"/>
          <w:color w:val="000000"/>
          <w:sz w:val="24"/>
          <w:szCs w:val="24"/>
        </w:rPr>
        <w:t>含本年收入</w:t>
      </w:r>
      <w:proofErr w:type="gramEnd"/>
      <w:r>
        <w:rPr>
          <w:rFonts w:asciiTheme="majorEastAsia" w:eastAsiaTheme="majorEastAsia" w:hAnsiTheme="majorEastAsia" w:cstheme="majorEastAsia" w:hint="eastAsia"/>
          <w:color w:val="000000"/>
          <w:sz w:val="24"/>
          <w:szCs w:val="24"/>
        </w:rPr>
        <w:t>602.46万元，年初结转结余101.77万元），其中本年财政拨款收入为561.14万元，较上年度</w:t>
      </w:r>
      <w:r>
        <w:rPr>
          <w:rFonts w:asciiTheme="majorEastAsia" w:eastAsiaTheme="majorEastAsia" w:hAnsiTheme="majorEastAsia" w:cstheme="majorEastAsia" w:hint="eastAsia"/>
          <w:color w:val="000000"/>
          <w:sz w:val="24"/>
          <w:szCs w:val="24"/>
        </w:rPr>
        <w:lastRenderedPageBreak/>
        <w:t>财政拨款收入543.78万元增加17.36万元；其他收入41.32万元，较上年度其他收入127.19万元减少85.87万元；及下</w:t>
      </w:r>
      <w:proofErr w:type="gramStart"/>
      <w:r>
        <w:rPr>
          <w:rFonts w:asciiTheme="majorEastAsia" w:eastAsiaTheme="majorEastAsia" w:hAnsiTheme="majorEastAsia" w:cstheme="majorEastAsia" w:hint="eastAsia"/>
          <w:color w:val="000000"/>
          <w:sz w:val="24"/>
          <w:szCs w:val="24"/>
        </w:rPr>
        <w:t>拔上年</w:t>
      </w:r>
      <w:proofErr w:type="gramEnd"/>
      <w:r>
        <w:rPr>
          <w:rFonts w:asciiTheme="majorEastAsia" w:eastAsiaTheme="majorEastAsia" w:hAnsiTheme="majorEastAsia" w:cstheme="majorEastAsia" w:hint="eastAsia"/>
          <w:color w:val="000000"/>
          <w:sz w:val="24"/>
          <w:szCs w:val="24"/>
        </w:rPr>
        <w:t>结转结余101.77</w:t>
      </w:r>
      <w:r>
        <w:rPr>
          <w:rFonts w:asciiTheme="majorEastAsia" w:eastAsiaTheme="majorEastAsia" w:hAnsiTheme="majorEastAsia" w:cstheme="majorEastAsia" w:hint="eastAsia"/>
          <w:sz w:val="24"/>
          <w:szCs w:val="24"/>
        </w:rPr>
        <w:t>万元。</w:t>
      </w:r>
      <w:r>
        <w:rPr>
          <w:rFonts w:asciiTheme="majorEastAsia" w:eastAsiaTheme="majorEastAsia" w:hAnsiTheme="majorEastAsia" w:cstheme="majorEastAsia" w:hint="eastAsia"/>
          <w:color w:val="000000"/>
          <w:sz w:val="24"/>
          <w:szCs w:val="24"/>
        </w:rPr>
        <w:t>本年度支出为611.36元，较上年支出794.67万元减少183.31万元。年末结转结余92.87万元。</w:t>
      </w:r>
    </w:p>
    <w:p w:rsidR="000B4904" w:rsidRDefault="007F7784">
      <w:pPr>
        <w:pStyle w:val="3"/>
        <w:adjustRightInd w:val="0"/>
        <w:snapToGrid w:val="0"/>
        <w:spacing w:line="360" w:lineRule="auto"/>
        <w:ind w:firstLine="482"/>
        <w:rPr>
          <w:rFonts w:asciiTheme="majorEastAsia" w:eastAsiaTheme="majorEastAsia" w:hAnsiTheme="majorEastAsia" w:cstheme="majorEastAsia"/>
          <w:sz w:val="24"/>
          <w:szCs w:val="24"/>
        </w:rPr>
      </w:pPr>
      <w:bookmarkStart w:id="3" w:name="_Toc452659694"/>
      <w:r>
        <w:rPr>
          <w:rFonts w:asciiTheme="majorEastAsia" w:eastAsiaTheme="majorEastAsia" w:hAnsiTheme="majorEastAsia" w:cstheme="majorEastAsia" w:hint="eastAsia"/>
          <w:sz w:val="24"/>
          <w:szCs w:val="24"/>
        </w:rPr>
        <w:t>2.1.4  经费来源和使用情况</w:t>
      </w:r>
      <w:bookmarkEnd w:id="3"/>
    </w:p>
    <w:p w:rsidR="000B4904" w:rsidRDefault="007F7784">
      <w:pPr>
        <w:adjustRightInd w:val="0"/>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2.1.4.1  资金来源。资金纳入了随州市统计局2017年部门决算，《市财政厅关于批复2017年市直部门决算的通知》批复了本项目资金的来源。2017年随州市统计局财政拨款收入为</w:t>
      </w:r>
      <w:r>
        <w:rPr>
          <w:rFonts w:asciiTheme="majorEastAsia" w:eastAsiaTheme="majorEastAsia" w:hAnsiTheme="majorEastAsia" w:cstheme="majorEastAsia" w:hint="eastAsia"/>
          <w:color w:val="000000"/>
          <w:sz w:val="24"/>
          <w:szCs w:val="24"/>
        </w:rPr>
        <w:t>561.14</w:t>
      </w:r>
      <w:r>
        <w:rPr>
          <w:rFonts w:asciiTheme="majorEastAsia" w:eastAsiaTheme="majorEastAsia" w:hAnsiTheme="majorEastAsia" w:cstheme="majorEastAsia" w:hint="eastAsia"/>
          <w:sz w:val="24"/>
          <w:szCs w:val="24"/>
        </w:rPr>
        <w:t>万元。上年结转</w:t>
      </w:r>
      <w:r>
        <w:rPr>
          <w:rFonts w:asciiTheme="majorEastAsia" w:eastAsiaTheme="majorEastAsia" w:hAnsiTheme="majorEastAsia" w:cstheme="majorEastAsia" w:hint="eastAsia"/>
          <w:color w:val="000000"/>
          <w:sz w:val="24"/>
          <w:szCs w:val="24"/>
        </w:rPr>
        <w:t>101.77</w:t>
      </w:r>
      <w:r>
        <w:rPr>
          <w:rFonts w:asciiTheme="majorEastAsia" w:eastAsiaTheme="majorEastAsia" w:hAnsiTheme="majorEastAsia" w:cstheme="majorEastAsia" w:hint="eastAsia"/>
          <w:sz w:val="24"/>
          <w:szCs w:val="24"/>
        </w:rPr>
        <w:t>万元，其他收入</w:t>
      </w:r>
      <w:r>
        <w:rPr>
          <w:rFonts w:asciiTheme="majorEastAsia" w:eastAsiaTheme="majorEastAsia" w:hAnsiTheme="majorEastAsia" w:cstheme="majorEastAsia" w:hint="eastAsia"/>
          <w:color w:val="000000"/>
          <w:sz w:val="24"/>
          <w:szCs w:val="24"/>
        </w:rPr>
        <w:t>41.32</w:t>
      </w:r>
      <w:r>
        <w:rPr>
          <w:rFonts w:asciiTheme="majorEastAsia" w:eastAsiaTheme="majorEastAsia" w:hAnsiTheme="majorEastAsia" w:cstheme="majorEastAsia" w:hint="eastAsia"/>
          <w:sz w:val="24"/>
          <w:szCs w:val="24"/>
        </w:rPr>
        <w:t>万元，合计</w:t>
      </w:r>
      <w:r>
        <w:rPr>
          <w:rFonts w:asciiTheme="majorEastAsia" w:eastAsiaTheme="majorEastAsia" w:hAnsiTheme="majorEastAsia" w:cstheme="majorEastAsia" w:hint="eastAsia"/>
          <w:color w:val="000000"/>
          <w:sz w:val="24"/>
          <w:szCs w:val="24"/>
        </w:rPr>
        <w:t>704.23</w:t>
      </w:r>
      <w:r>
        <w:rPr>
          <w:rFonts w:asciiTheme="majorEastAsia" w:eastAsiaTheme="majorEastAsia" w:hAnsiTheme="majorEastAsia" w:cstheme="majorEastAsia" w:hint="eastAsia"/>
          <w:sz w:val="24"/>
          <w:szCs w:val="24"/>
        </w:rPr>
        <w:t>万元。资金到位率100%。</w:t>
      </w:r>
    </w:p>
    <w:p w:rsidR="000B4904" w:rsidRDefault="007F7784">
      <w:pPr>
        <w:adjustRightInd w:val="0"/>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2.1.4.2  资金使用。本年度部门使用资金611.36万元。其中：基本支出495.67万元，具体包括工资福利支出364.28万元，商品和服务支出59.16万元，对个人和家庭补助支出70.02万元，其它资本性支出2.21万元。项目支出为115.69万元。</w:t>
      </w:r>
    </w:p>
    <w:p w:rsidR="000B4904" w:rsidRDefault="007F7784">
      <w:pPr>
        <w:adjustRightInd w:val="0"/>
        <w:snapToGrid w:val="0"/>
        <w:spacing w:line="360" w:lineRule="auto"/>
        <w:jc w:val="center"/>
        <w:rPr>
          <w:rFonts w:asciiTheme="majorEastAsia" w:eastAsiaTheme="majorEastAsia" w:hAnsiTheme="majorEastAsia" w:cstheme="majorEastAsia"/>
          <w:b/>
          <w:sz w:val="24"/>
          <w:szCs w:val="24"/>
        </w:rPr>
      </w:pPr>
      <w:r>
        <w:rPr>
          <w:rFonts w:asciiTheme="majorEastAsia" w:eastAsiaTheme="majorEastAsia" w:hAnsiTheme="majorEastAsia" w:cstheme="majorEastAsia" w:hint="eastAsia"/>
          <w:b/>
          <w:sz w:val="24"/>
          <w:szCs w:val="24"/>
        </w:rPr>
        <w:t>部门预算支出情况对比表</w:t>
      </w:r>
    </w:p>
    <w:tbl>
      <w:tblPr>
        <w:tblW w:w="852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3424"/>
        <w:gridCol w:w="2610"/>
        <w:gridCol w:w="2494"/>
      </w:tblGrid>
      <w:tr w:rsidR="000B4904">
        <w:trPr>
          <w:trHeight w:val="285"/>
          <w:jc w:val="center"/>
        </w:trPr>
        <w:tc>
          <w:tcPr>
            <w:tcW w:w="3424" w:type="dxa"/>
            <w:vAlign w:val="center"/>
          </w:tcPr>
          <w:p w:rsidR="000B4904" w:rsidRDefault="007F7784">
            <w:pPr>
              <w:adjustRightInd w:val="0"/>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项   目</w:t>
            </w:r>
          </w:p>
        </w:tc>
        <w:tc>
          <w:tcPr>
            <w:tcW w:w="2610" w:type="dxa"/>
          </w:tcPr>
          <w:p w:rsidR="000B4904" w:rsidRDefault="007F7784">
            <w:pPr>
              <w:adjustRightInd w:val="0"/>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预算数（万元）</w:t>
            </w:r>
          </w:p>
        </w:tc>
        <w:tc>
          <w:tcPr>
            <w:tcW w:w="2494" w:type="dxa"/>
          </w:tcPr>
          <w:p w:rsidR="000B4904" w:rsidRDefault="007F7784">
            <w:pPr>
              <w:adjustRightInd w:val="0"/>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使用数（万元）</w:t>
            </w:r>
          </w:p>
        </w:tc>
      </w:tr>
      <w:tr w:rsidR="000B4904">
        <w:trPr>
          <w:trHeight w:val="285"/>
          <w:jc w:val="center"/>
        </w:trPr>
        <w:tc>
          <w:tcPr>
            <w:tcW w:w="3424" w:type="dxa"/>
            <w:vAlign w:val="center"/>
          </w:tcPr>
          <w:p w:rsidR="000B4904" w:rsidRDefault="007F7784">
            <w:pPr>
              <w:adjustRightInd w:val="0"/>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基本支出</w:t>
            </w:r>
          </w:p>
        </w:tc>
        <w:tc>
          <w:tcPr>
            <w:tcW w:w="2610" w:type="dxa"/>
          </w:tcPr>
          <w:p w:rsidR="000B4904" w:rsidRDefault="007F7784">
            <w:pPr>
              <w:adjustRightInd w:val="0"/>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350.20</w:t>
            </w:r>
          </w:p>
        </w:tc>
        <w:tc>
          <w:tcPr>
            <w:tcW w:w="2494" w:type="dxa"/>
            <w:vAlign w:val="bottom"/>
          </w:tcPr>
          <w:p w:rsidR="000B4904" w:rsidRDefault="007F7784">
            <w:pPr>
              <w:adjustRightInd w:val="0"/>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495.67</w:t>
            </w:r>
          </w:p>
        </w:tc>
      </w:tr>
      <w:tr w:rsidR="000B4904">
        <w:trPr>
          <w:trHeight w:val="285"/>
          <w:jc w:val="center"/>
        </w:trPr>
        <w:tc>
          <w:tcPr>
            <w:tcW w:w="3424" w:type="dxa"/>
            <w:vAlign w:val="center"/>
          </w:tcPr>
          <w:p w:rsidR="000B4904" w:rsidRDefault="007F7784">
            <w:pPr>
              <w:adjustRightInd w:val="0"/>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项目支出</w:t>
            </w:r>
          </w:p>
        </w:tc>
        <w:tc>
          <w:tcPr>
            <w:tcW w:w="2610" w:type="dxa"/>
          </w:tcPr>
          <w:p w:rsidR="000B4904" w:rsidRDefault="007F7784">
            <w:pPr>
              <w:adjustRightInd w:val="0"/>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480.86</w:t>
            </w:r>
          </w:p>
        </w:tc>
        <w:tc>
          <w:tcPr>
            <w:tcW w:w="2494" w:type="dxa"/>
            <w:vAlign w:val="center"/>
          </w:tcPr>
          <w:p w:rsidR="000B4904" w:rsidRDefault="007F7784">
            <w:pPr>
              <w:adjustRightInd w:val="0"/>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115.69</w:t>
            </w:r>
          </w:p>
        </w:tc>
      </w:tr>
      <w:tr w:rsidR="000B4904">
        <w:trPr>
          <w:trHeight w:val="285"/>
          <w:jc w:val="center"/>
        </w:trPr>
        <w:tc>
          <w:tcPr>
            <w:tcW w:w="3424" w:type="dxa"/>
            <w:vAlign w:val="center"/>
          </w:tcPr>
          <w:p w:rsidR="000B4904" w:rsidRDefault="007F7784">
            <w:pPr>
              <w:adjustRightInd w:val="0"/>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其中： </w:t>
            </w:r>
          </w:p>
        </w:tc>
        <w:tc>
          <w:tcPr>
            <w:tcW w:w="2610" w:type="dxa"/>
          </w:tcPr>
          <w:p w:rsidR="000B4904" w:rsidRDefault="000B4904">
            <w:pPr>
              <w:adjustRightInd w:val="0"/>
              <w:snapToGrid w:val="0"/>
              <w:spacing w:line="360" w:lineRule="auto"/>
              <w:ind w:firstLineChars="200" w:firstLine="480"/>
              <w:rPr>
                <w:rFonts w:asciiTheme="majorEastAsia" w:eastAsiaTheme="majorEastAsia" w:hAnsiTheme="majorEastAsia" w:cstheme="majorEastAsia"/>
                <w:sz w:val="24"/>
                <w:szCs w:val="24"/>
              </w:rPr>
            </w:pPr>
          </w:p>
        </w:tc>
        <w:tc>
          <w:tcPr>
            <w:tcW w:w="2494" w:type="dxa"/>
          </w:tcPr>
          <w:p w:rsidR="000B4904" w:rsidRDefault="000B4904">
            <w:pPr>
              <w:adjustRightInd w:val="0"/>
              <w:snapToGrid w:val="0"/>
              <w:spacing w:line="360" w:lineRule="auto"/>
              <w:ind w:firstLineChars="200" w:firstLine="480"/>
              <w:rPr>
                <w:rFonts w:asciiTheme="majorEastAsia" w:eastAsiaTheme="majorEastAsia" w:hAnsiTheme="majorEastAsia" w:cstheme="majorEastAsia"/>
                <w:sz w:val="24"/>
                <w:szCs w:val="24"/>
              </w:rPr>
            </w:pPr>
          </w:p>
        </w:tc>
      </w:tr>
      <w:tr w:rsidR="000B4904">
        <w:trPr>
          <w:trHeight w:val="285"/>
          <w:jc w:val="center"/>
        </w:trPr>
        <w:tc>
          <w:tcPr>
            <w:tcW w:w="3424" w:type="dxa"/>
            <w:vAlign w:val="center"/>
          </w:tcPr>
          <w:p w:rsidR="000B4904" w:rsidRDefault="007F7784">
            <w:pPr>
              <w:adjustRightInd w:val="0"/>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三</w:t>
            </w:r>
            <w:proofErr w:type="gramStart"/>
            <w:r>
              <w:rPr>
                <w:rFonts w:asciiTheme="majorEastAsia" w:eastAsiaTheme="majorEastAsia" w:hAnsiTheme="majorEastAsia" w:cstheme="majorEastAsia" w:hint="eastAsia"/>
                <w:sz w:val="24"/>
                <w:szCs w:val="24"/>
              </w:rPr>
              <w:t>公经费</w:t>
            </w:r>
            <w:proofErr w:type="gramEnd"/>
          </w:p>
        </w:tc>
        <w:tc>
          <w:tcPr>
            <w:tcW w:w="2610" w:type="dxa"/>
          </w:tcPr>
          <w:p w:rsidR="000B4904" w:rsidRDefault="007F7784">
            <w:pPr>
              <w:adjustRightInd w:val="0"/>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7.27</w:t>
            </w:r>
          </w:p>
        </w:tc>
        <w:tc>
          <w:tcPr>
            <w:tcW w:w="2494" w:type="dxa"/>
          </w:tcPr>
          <w:p w:rsidR="000B4904" w:rsidRDefault="007F7784">
            <w:pPr>
              <w:adjustRightInd w:val="0"/>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4.35</w:t>
            </w:r>
          </w:p>
        </w:tc>
      </w:tr>
    </w:tbl>
    <w:p w:rsidR="000B4904" w:rsidRDefault="007F7784">
      <w:pPr>
        <w:numPr>
          <w:ilvl w:val="0"/>
          <w:numId w:val="1"/>
        </w:numPr>
        <w:adjustRightInd w:val="0"/>
        <w:snapToGrid w:val="0"/>
        <w:spacing w:after="506" w:line="360" w:lineRule="auto"/>
        <w:contextualSpacing/>
        <w:rPr>
          <w:rFonts w:asciiTheme="majorEastAsia" w:eastAsiaTheme="majorEastAsia" w:hAnsiTheme="majorEastAsia" w:cstheme="majorEastAsia"/>
          <w:b/>
          <w:bCs/>
          <w:sz w:val="24"/>
          <w:szCs w:val="24"/>
        </w:rPr>
      </w:pPr>
      <w:r>
        <w:rPr>
          <w:rFonts w:asciiTheme="majorEastAsia" w:eastAsiaTheme="majorEastAsia" w:hAnsiTheme="majorEastAsia" w:cstheme="majorEastAsia" w:hint="eastAsia"/>
          <w:b/>
          <w:bCs/>
          <w:sz w:val="24"/>
          <w:szCs w:val="24"/>
        </w:rPr>
        <w:t>绩效评价情况</w:t>
      </w:r>
    </w:p>
    <w:p w:rsidR="000B4904" w:rsidRDefault="007F7784">
      <w:pPr>
        <w:adjustRightInd w:val="0"/>
        <w:snapToGrid w:val="0"/>
        <w:spacing w:after="506" w:line="360" w:lineRule="auto"/>
        <w:ind w:firstLineChars="200" w:firstLine="482"/>
        <w:contextualSpacing/>
        <w:rPr>
          <w:rFonts w:asciiTheme="majorEastAsia" w:eastAsiaTheme="majorEastAsia" w:hAnsiTheme="majorEastAsia" w:cstheme="majorEastAsia"/>
          <w:sz w:val="24"/>
          <w:szCs w:val="24"/>
        </w:rPr>
      </w:pPr>
      <w:r>
        <w:rPr>
          <w:rFonts w:asciiTheme="majorEastAsia" w:eastAsiaTheme="majorEastAsia" w:hAnsiTheme="majorEastAsia" w:cstheme="majorEastAsia" w:hint="eastAsia"/>
          <w:b/>
          <w:bCs/>
          <w:sz w:val="24"/>
          <w:szCs w:val="24"/>
        </w:rPr>
        <w:t>3.1绩效目标完成情况</w:t>
      </w:r>
    </w:p>
    <w:p w:rsidR="000B4904" w:rsidRDefault="007F7784">
      <w:pPr>
        <w:adjustRightInd w:val="0"/>
        <w:snapToGrid w:val="0"/>
        <w:spacing w:after="506" w:line="360" w:lineRule="auto"/>
        <w:ind w:firstLineChars="200" w:firstLine="482"/>
        <w:contextualSpacing/>
        <w:rPr>
          <w:rFonts w:asciiTheme="majorEastAsia" w:eastAsiaTheme="majorEastAsia" w:hAnsiTheme="majorEastAsia" w:cstheme="majorEastAsia"/>
          <w:b/>
          <w:bCs/>
          <w:sz w:val="24"/>
          <w:szCs w:val="24"/>
        </w:rPr>
      </w:pPr>
      <w:bookmarkStart w:id="4" w:name="_Toc452659695"/>
      <w:r>
        <w:rPr>
          <w:rFonts w:asciiTheme="majorEastAsia" w:eastAsiaTheme="majorEastAsia" w:hAnsiTheme="majorEastAsia" w:cstheme="majorEastAsia" w:hint="eastAsia"/>
          <w:b/>
          <w:bCs/>
          <w:sz w:val="24"/>
          <w:szCs w:val="24"/>
        </w:rPr>
        <w:t>3.1.1  绩效目标</w:t>
      </w:r>
      <w:bookmarkEnd w:id="4"/>
    </w:p>
    <w:p w:rsidR="000B4904" w:rsidRDefault="007F7784">
      <w:pPr>
        <w:adjustRightInd w:val="0"/>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紧紧围绕市委市政府中心工作，根据部门工作职能和发展规划，紧密结合年度工作计划制定了年度目标。                   </w:t>
      </w:r>
    </w:p>
    <w:p w:rsidR="000B4904" w:rsidRDefault="007F7784">
      <w:pPr>
        <w:adjustRightInd w:val="0"/>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年度目标是：</w:t>
      </w:r>
    </w:p>
    <w:p w:rsidR="000B4904" w:rsidRPr="00BE3D0D" w:rsidRDefault="007F7784">
      <w:pPr>
        <w:adjustRightInd w:val="0"/>
        <w:snapToGrid w:val="0"/>
        <w:spacing w:line="360" w:lineRule="auto"/>
        <w:ind w:firstLineChars="200" w:firstLine="480"/>
        <w:rPr>
          <w:rFonts w:asciiTheme="majorEastAsia" w:eastAsiaTheme="majorEastAsia" w:hAnsiTheme="majorEastAsia" w:cstheme="majorEastAsia"/>
          <w:color w:val="000000" w:themeColor="text1"/>
          <w:sz w:val="24"/>
          <w:szCs w:val="24"/>
        </w:rPr>
      </w:pPr>
      <w:r w:rsidRPr="00BE3D0D">
        <w:rPr>
          <w:rFonts w:asciiTheme="majorEastAsia" w:eastAsiaTheme="majorEastAsia" w:hAnsiTheme="majorEastAsia" w:cstheme="majorEastAsia" w:hint="eastAsia"/>
          <w:color w:val="000000" w:themeColor="text1"/>
          <w:sz w:val="24"/>
          <w:szCs w:val="24"/>
        </w:rPr>
        <w:t>1.</w:t>
      </w:r>
      <w:r w:rsidR="004B2484" w:rsidRPr="00BE3D0D">
        <w:rPr>
          <w:rFonts w:hint="eastAsia"/>
          <w:color w:val="000000" w:themeColor="text1"/>
        </w:rPr>
        <w:t xml:space="preserve"> </w:t>
      </w:r>
      <w:r w:rsidR="004B2484" w:rsidRPr="00BE3D0D">
        <w:rPr>
          <w:rFonts w:asciiTheme="majorEastAsia" w:eastAsiaTheme="majorEastAsia" w:hAnsiTheme="majorEastAsia" w:cstheme="majorEastAsia" w:hint="eastAsia"/>
          <w:color w:val="000000" w:themeColor="text1"/>
          <w:sz w:val="24"/>
          <w:szCs w:val="24"/>
        </w:rPr>
        <w:t>高度重视，深入推进统计体制改革。</w:t>
      </w:r>
    </w:p>
    <w:p w:rsidR="000B4904" w:rsidRPr="00BE3D0D" w:rsidRDefault="007F7784">
      <w:pPr>
        <w:adjustRightInd w:val="0"/>
        <w:snapToGrid w:val="0"/>
        <w:spacing w:line="360" w:lineRule="auto"/>
        <w:ind w:firstLineChars="200" w:firstLine="480"/>
        <w:rPr>
          <w:rFonts w:asciiTheme="majorEastAsia" w:eastAsiaTheme="majorEastAsia" w:hAnsiTheme="majorEastAsia" w:cstheme="majorEastAsia"/>
          <w:color w:val="000000" w:themeColor="text1"/>
          <w:sz w:val="24"/>
          <w:szCs w:val="24"/>
        </w:rPr>
      </w:pPr>
      <w:r w:rsidRPr="00BE3D0D">
        <w:rPr>
          <w:rFonts w:asciiTheme="majorEastAsia" w:eastAsiaTheme="majorEastAsia" w:hAnsiTheme="majorEastAsia" w:cstheme="majorEastAsia" w:hint="eastAsia"/>
          <w:color w:val="000000" w:themeColor="text1"/>
          <w:sz w:val="24"/>
          <w:szCs w:val="24"/>
        </w:rPr>
        <w:t>2.</w:t>
      </w:r>
      <w:r w:rsidR="004B2484" w:rsidRPr="00BE3D0D">
        <w:rPr>
          <w:rFonts w:hint="eastAsia"/>
          <w:color w:val="000000" w:themeColor="text1"/>
        </w:rPr>
        <w:t xml:space="preserve"> </w:t>
      </w:r>
      <w:r w:rsidR="004B2484" w:rsidRPr="00BE3D0D">
        <w:rPr>
          <w:rFonts w:asciiTheme="majorEastAsia" w:eastAsiaTheme="majorEastAsia" w:hAnsiTheme="majorEastAsia" w:cstheme="majorEastAsia" w:hint="eastAsia"/>
          <w:color w:val="000000" w:themeColor="text1"/>
          <w:sz w:val="24"/>
          <w:szCs w:val="24"/>
        </w:rPr>
        <w:t>多</w:t>
      </w:r>
      <w:proofErr w:type="gramStart"/>
      <w:r w:rsidR="004B2484" w:rsidRPr="00BE3D0D">
        <w:rPr>
          <w:rFonts w:asciiTheme="majorEastAsia" w:eastAsiaTheme="majorEastAsia" w:hAnsiTheme="majorEastAsia" w:cstheme="majorEastAsia" w:hint="eastAsia"/>
          <w:color w:val="000000" w:themeColor="text1"/>
          <w:sz w:val="24"/>
          <w:szCs w:val="24"/>
        </w:rPr>
        <w:t>措</w:t>
      </w:r>
      <w:proofErr w:type="gramEnd"/>
      <w:r w:rsidR="004B2484" w:rsidRPr="00BE3D0D">
        <w:rPr>
          <w:rFonts w:asciiTheme="majorEastAsia" w:eastAsiaTheme="majorEastAsia" w:hAnsiTheme="majorEastAsia" w:cstheme="majorEastAsia" w:hint="eastAsia"/>
          <w:color w:val="000000" w:themeColor="text1"/>
          <w:sz w:val="24"/>
          <w:szCs w:val="24"/>
        </w:rPr>
        <w:t>并举，全面提升统计数据质量。</w:t>
      </w:r>
    </w:p>
    <w:p w:rsidR="000B4904" w:rsidRPr="00BE3D0D" w:rsidRDefault="007F7784">
      <w:pPr>
        <w:adjustRightInd w:val="0"/>
        <w:snapToGrid w:val="0"/>
        <w:spacing w:line="360" w:lineRule="auto"/>
        <w:ind w:firstLineChars="200" w:firstLine="480"/>
        <w:rPr>
          <w:rFonts w:asciiTheme="majorEastAsia" w:eastAsiaTheme="majorEastAsia" w:hAnsiTheme="majorEastAsia" w:cstheme="majorEastAsia"/>
          <w:color w:val="000000" w:themeColor="text1"/>
          <w:sz w:val="24"/>
          <w:szCs w:val="24"/>
        </w:rPr>
      </w:pPr>
      <w:r w:rsidRPr="00BE3D0D">
        <w:rPr>
          <w:rFonts w:asciiTheme="majorEastAsia" w:eastAsiaTheme="majorEastAsia" w:hAnsiTheme="majorEastAsia" w:cstheme="majorEastAsia" w:hint="eastAsia"/>
          <w:color w:val="000000" w:themeColor="text1"/>
          <w:sz w:val="24"/>
          <w:szCs w:val="24"/>
        </w:rPr>
        <w:t>3.</w:t>
      </w:r>
      <w:r w:rsidR="004B2484" w:rsidRPr="00BE3D0D">
        <w:rPr>
          <w:rFonts w:hint="eastAsia"/>
          <w:color w:val="000000" w:themeColor="text1"/>
        </w:rPr>
        <w:t xml:space="preserve"> </w:t>
      </w:r>
      <w:r w:rsidR="004B2484" w:rsidRPr="00BE3D0D">
        <w:rPr>
          <w:rFonts w:asciiTheme="majorEastAsia" w:eastAsiaTheme="majorEastAsia" w:hAnsiTheme="majorEastAsia" w:cstheme="majorEastAsia" w:hint="eastAsia"/>
          <w:color w:val="000000" w:themeColor="text1"/>
          <w:sz w:val="24"/>
          <w:szCs w:val="24"/>
        </w:rPr>
        <w:t>精准发力，夯实基层基础规范建设</w:t>
      </w:r>
      <w:r w:rsidRPr="00BE3D0D">
        <w:rPr>
          <w:rFonts w:asciiTheme="majorEastAsia" w:eastAsiaTheme="majorEastAsia" w:hAnsiTheme="majorEastAsia" w:cstheme="majorEastAsia" w:hint="eastAsia"/>
          <w:color w:val="000000" w:themeColor="text1"/>
          <w:sz w:val="24"/>
          <w:szCs w:val="24"/>
        </w:rPr>
        <w:t>。</w:t>
      </w:r>
    </w:p>
    <w:p w:rsidR="000B4904" w:rsidRPr="00BE3D0D" w:rsidRDefault="007F7784">
      <w:pPr>
        <w:adjustRightInd w:val="0"/>
        <w:snapToGrid w:val="0"/>
        <w:spacing w:line="360" w:lineRule="auto"/>
        <w:ind w:firstLineChars="200" w:firstLine="480"/>
        <w:rPr>
          <w:rFonts w:asciiTheme="majorEastAsia" w:eastAsiaTheme="majorEastAsia" w:hAnsiTheme="majorEastAsia" w:cstheme="majorEastAsia"/>
          <w:color w:val="000000" w:themeColor="text1"/>
          <w:sz w:val="24"/>
          <w:szCs w:val="24"/>
        </w:rPr>
      </w:pPr>
      <w:r w:rsidRPr="00BE3D0D">
        <w:rPr>
          <w:rFonts w:asciiTheme="majorEastAsia" w:eastAsiaTheme="majorEastAsia" w:hAnsiTheme="majorEastAsia" w:cstheme="majorEastAsia" w:hint="eastAsia"/>
          <w:color w:val="000000" w:themeColor="text1"/>
          <w:sz w:val="24"/>
          <w:szCs w:val="24"/>
        </w:rPr>
        <w:t>4.</w:t>
      </w:r>
      <w:r w:rsidR="00BE3D0D" w:rsidRPr="00BE3D0D">
        <w:rPr>
          <w:rFonts w:hint="eastAsia"/>
          <w:color w:val="000000" w:themeColor="text1"/>
        </w:rPr>
        <w:t xml:space="preserve"> </w:t>
      </w:r>
      <w:r w:rsidR="00BE3D0D" w:rsidRPr="00BE3D0D">
        <w:rPr>
          <w:rFonts w:asciiTheme="majorEastAsia" w:eastAsiaTheme="majorEastAsia" w:hAnsiTheme="majorEastAsia" w:cstheme="majorEastAsia" w:hint="eastAsia"/>
          <w:color w:val="000000" w:themeColor="text1"/>
          <w:sz w:val="24"/>
          <w:szCs w:val="24"/>
        </w:rPr>
        <w:t>认真组织，扎实推进重大普查工作</w:t>
      </w:r>
      <w:r w:rsidRPr="00BE3D0D">
        <w:rPr>
          <w:rFonts w:asciiTheme="majorEastAsia" w:eastAsiaTheme="majorEastAsia" w:hAnsiTheme="majorEastAsia" w:cstheme="majorEastAsia" w:hint="eastAsia"/>
          <w:color w:val="000000" w:themeColor="text1"/>
          <w:sz w:val="24"/>
          <w:szCs w:val="24"/>
        </w:rPr>
        <w:t>。</w:t>
      </w:r>
    </w:p>
    <w:p w:rsidR="000B4904" w:rsidRPr="00BE3D0D" w:rsidRDefault="007F7784">
      <w:pPr>
        <w:adjustRightInd w:val="0"/>
        <w:snapToGrid w:val="0"/>
        <w:spacing w:line="360" w:lineRule="auto"/>
        <w:ind w:firstLineChars="200" w:firstLine="480"/>
        <w:rPr>
          <w:rFonts w:asciiTheme="majorEastAsia" w:eastAsiaTheme="majorEastAsia" w:hAnsiTheme="majorEastAsia" w:cstheme="majorEastAsia"/>
          <w:color w:val="000000" w:themeColor="text1"/>
          <w:sz w:val="24"/>
          <w:szCs w:val="24"/>
        </w:rPr>
      </w:pPr>
      <w:r w:rsidRPr="00BE3D0D">
        <w:rPr>
          <w:rFonts w:asciiTheme="majorEastAsia" w:eastAsiaTheme="majorEastAsia" w:hAnsiTheme="majorEastAsia" w:cstheme="majorEastAsia" w:hint="eastAsia"/>
          <w:color w:val="000000" w:themeColor="text1"/>
          <w:sz w:val="24"/>
          <w:szCs w:val="24"/>
        </w:rPr>
        <w:t>5.</w:t>
      </w:r>
      <w:r w:rsidR="00BE3D0D" w:rsidRPr="00BE3D0D">
        <w:rPr>
          <w:rFonts w:hint="eastAsia"/>
          <w:color w:val="000000" w:themeColor="text1"/>
        </w:rPr>
        <w:t xml:space="preserve"> </w:t>
      </w:r>
      <w:r w:rsidR="00BE3D0D" w:rsidRPr="00BE3D0D">
        <w:rPr>
          <w:rFonts w:asciiTheme="majorEastAsia" w:eastAsiaTheme="majorEastAsia" w:hAnsiTheme="majorEastAsia" w:cstheme="majorEastAsia" w:hint="eastAsia"/>
          <w:color w:val="000000" w:themeColor="text1"/>
          <w:sz w:val="24"/>
          <w:szCs w:val="24"/>
        </w:rPr>
        <w:t>紧扣需求，积极创新</w:t>
      </w:r>
      <w:proofErr w:type="gramStart"/>
      <w:r w:rsidR="00BE3D0D" w:rsidRPr="00BE3D0D">
        <w:rPr>
          <w:rFonts w:asciiTheme="majorEastAsia" w:eastAsiaTheme="majorEastAsia" w:hAnsiTheme="majorEastAsia" w:cstheme="majorEastAsia" w:hint="eastAsia"/>
          <w:color w:val="000000" w:themeColor="text1"/>
          <w:sz w:val="24"/>
          <w:szCs w:val="24"/>
        </w:rPr>
        <w:t>数库智库</w:t>
      </w:r>
      <w:proofErr w:type="gramEnd"/>
      <w:r w:rsidR="00BE3D0D" w:rsidRPr="00BE3D0D">
        <w:rPr>
          <w:rFonts w:asciiTheme="majorEastAsia" w:eastAsiaTheme="majorEastAsia" w:hAnsiTheme="majorEastAsia" w:cstheme="majorEastAsia" w:hint="eastAsia"/>
          <w:color w:val="000000" w:themeColor="text1"/>
          <w:sz w:val="24"/>
          <w:szCs w:val="24"/>
        </w:rPr>
        <w:t>建设</w:t>
      </w:r>
      <w:r w:rsidRPr="00BE3D0D">
        <w:rPr>
          <w:rFonts w:asciiTheme="majorEastAsia" w:eastAsiaTheme="majorEastAsia" w:hAnsiTheme="majorEastAsia" w:cstheme="majorEastAsia" w:hint="eastAsia"/>
          <w:color w:val="000000" w:themeColor="text1"/>
          <w:sz w:val="24"/>
          <w:szCs w:val="24"/>
        </w:rPr>
        <w:t>。</w:t>
      </w:r>
    </w:p>
    <w:p w:rsidR="00BE3D0D" w:rsidRPr="00BE3D0D" w:rsidRDefault="00BE3D0D">
      <w:pPr>
        <w:adjustRightInd w:val="0"/>
        <w:snapToGrid w:val="0"/>
        <w:spacing w:line="360" w:lineRule="auto"/>
        <w:ind w:firstLineChars="200" w:firstLine="480"/>
        <w:rPr>
          <w:rFonts w:asciiTheme="majorEastAsia" w:eastAsiaTheme="majorEastAsia" w:hAnsiTheme="majorEastAsia" w:cstheme="majorEastAsia"/>
          <w:color w:val="000000" w:themeColor="text1"/>
          <w:sz w:val="24"/>
          <w:szCs w:val="24"/>
        </w:rPr>
      </w:pPr>
      <w:r w:rsidRPr="00BE3D0D">
        <w:rPr>
          <w:rFonts w:asciiTheme="majorEastAsia" w:eastAsiaTheme="majorEastAsia" w:hAnsiTheme="majorEastAsia" w:cstheme="majorEastAsia" w:hint="eastAsia"/>
          <w:color w:val="000000" w:themeColor="text1"/>
          <w:sz w:val="24"/>
          <w:szCs w:val="24"/>
        </w:rPr>
        <w:t>6.</w:t>
      </w:r>
      <w:r w:rsidRPr="00BE3D0D">
        <w:rPr>
          <w:rFonts w:hint="eastAsia"/>
          <w:color w:val="000000" w:themeColor="text1"/>
        </w:rPr>
        <w:t xml:space="preserve"> </w:t>
      </w:r>
      <w:r w:rsidRPr="00BE3D0D">
        <w:rPr>
          <w:rFonts w:asciiTheme="majorEastAsia" w:eastAsiaTheme="majorEastAsia" w:hAnsiTheme="majorEastAsia" w:cstheme="majorEastAsia" w:hint="eastAsia"/>
          <w:color w:val="000000" w:themeColor="text1"/>
          <w:sz w:val="24"/>
          <w:szCs w:val="24"/>
        </w:rPr>
        <w:t>主动作为，积极服务全市中心工作。</w:t>
      </w:r>
    </w:p>
    <w:p w:rsidR="00FE61C1" w:rsidRDefault="00BE3D0D">
      <w:pPr>
        <w:adjustRightInd w:val="0"/>
        <w:snapToGrid w:val="0"/>
        <w:spacing w:line="360" w:lineRule="auto"/>
        <w:ind w:firstLineChars="200" w:firstLine="480"/>
        <w:rPr>
          <w:rFonts w:asciiTheme="majorEastAsia" w:eastAsiaTheme="majorEastAsia" w:hAnsiTheme="majorEastAsia" w:cstheme="majorEastAsia"/>
          <w:color w:val="000000" w:themeColor="text1"/>
          <w:sz w:val="24"/>
          <w:szCs w:val="24"/>
        </w:rPr>
      </w:pPr>
      <w:r w:rsidRPr="00BE3D0D">
        <w:rPr>
          <w:rFonts w:asciiTheme="majorEastAsia" w:eastAsiaTheme="majorEastAsia" w:hAnsiTheme="majorEastAsia" w:cstheme="majorEastAsia" w:hint="eastAsia"/>
          <w:color w:val="000000" w:themeColor="text1"/>
          <w:sz w:val="24"/>
          <w:szCs w:val="24"/>
        </w:rPr>
        <w:t>7.</w:t>
      </w:r>
      <w:r w:rsidRPr="00BE3D0D">
        <w:rPr>
          <w:rFonts w:hint="eastAsia"/>
          <w:color w:val="000000" w:themeColor="text1"/>
        </w:rPr>
        <w:t xml:space="preserve"> </w:t>
      </w:r>
      <w:r w:rsidR="00FE61C1" w:rsidRPr="00FE61C1">
        <w:rPr>
          <w:rFonts w:asciiTheme="majorEastAsia" w:eastAsiaTheme="majorEastAsia" w:hAnsiTheme="majorEastAsia" w:cstheme="majorEastAsia" w:hint="eastAsia"/>
          <w:color w:val="000000" w:themeColor="text1"/>
          <w:sz w:val="24"/>
          <w:szCs w:val="24"/>
        </w:rPr>
        <w:t>以人为本，全面加强队伍能力建设</w:t>
      </w:r>
      <w:r w:rsidR="00FE61C1">
        <w:rPr>
          <w:rFonts w:asciiTheme="majorEastAsia" w:eastAsiaTheme="majorEastAsia" w:hAnsiTheme="majorEastAsia" w:cstheme="majorEastAsia" w:hint="eastAsia"/>
          <w:color w:val="000000" w:themeColor="text1"/>
          <w:sz w:val="24"/>
          <w:szCs w:val="24"/>
        </w:rPr>
        <w:t>。</w:t>
      </w:r>
    </w:p>
    <w:p w:rsidR="00BE3D0D" w:rsidRPr="00BE3D0D" w:rsidRDefault="00FE61C1">
      <w:pPr>
        <w:adjustRightInd w:val="0"/>
        <w:snapToGrid w:val="0"/>
        <w:spacing w:line="360" w:lineRule="auto"/>
        <w:ind w:firstLineChars="200" w:firstLine="480"/>
        <w:rPr>
          <w:rFonts w:asciiTheme="majorEastAsia" w:eastAsiaTheme="majorEastAsia" w:hAnsiTheme="majorEastAsia" w:cstheme="majorEastAsia"/>
          <w:color w:val="000000" w:themeColor="text1"/>
          <w:sz w:val="24"/>
          <w:szCs w:val="24"/>
        </w:rPr>
      </w:pPr>
      <w:r>
        <w:rPr>
          <w:rFonts w:asciiTheme="majorEastAsia" w:eastAsiaTheme="majorEastAsia" w:hAnsiTheme="majorEastAsia" w:cstheme="majorEastAsia" w:hint="eastAsia"/>
          <w:color w:val="000000" w:themeColor="text1"/>
          <w:sz w:val="24"/>
          <w:szCs w:val="24"/>
        </w:rPr>
        <w:lastRenderedPageBreak/>
        <w:t>8.</w:t>
      </w:r>
      <w:r w:rsidR="00BE3D0D" w:rsidRPr="00BE3D0D">
        <w:rPr>
          <w:rFonts w:asciiTheme="majorEastAsia" w:eastAsiaTheme="majorEastAsia" w:hAnsiTheme="majorEastAsia" w:cstheme="majorEastAsia" w:hint="eastAsia"/>
          <w:color w:val="000000" w:themeColor="text1"/>
          <w:sz w:val="24"/>
          <w:szCs w:val="24"/>
        </w:rPr>
        <w:t>从严治党，扎实抓好党风廉政建设。</w:t>
      </w:r>
    </w:p>
    <w:p w:rsidR="000B4904" w:rsidRDefault="007F7784">
      <w:pPr>
        <w:pStyle w:val="1GB2312787828"/>
        <w:adjustRightInd w:val="0"/>
        <w:snapToGrid w:val="0"/>
        <w:spacing w:line="360" w:lineRule="auto"/>
        <w:ind w:firstLineChars="200" w:firstLine="482"/>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3.1.2绩效评价原则、框架及指标设定与赋权</w:t>
      </w:r>
    </w:p>
    <w:p w:rsidR="000B4904" w:rsidRDefault="007F7784">
      <w:pPr>
        <w:pStyle w:val="221"/>
        <w:adjustRightInd w:val="0"/>
        <w:snapToGrid w:val="0"/>
        <w:spacing w:line="360" w:lineRule="auto"/>
        <w:outlineLvl w:val="0"/>
        <w:rPr>
          <w:rFonts w:asciiTheme="majorEastAsia" w:eastAsiaTheme="majorEastAsia" w:hAnsiTheme="majorEastAsia" w:cstheme="majorEastAsia"/>
          <w:sz w:val="24"/>
          <w:szCs w:val="24"/>
        </w:rPr>
      </w:pPr>
      <w:bookmarkStart w:id="5" w:name="_Toc419294951"/>
      <w:bookmarkStart w:id="6" w:name="_Toc452659697"/>
      <w:r>
        <w:rPr>
          <w:rFonts w:asciiTheme="majorEastAsia" w:eastAsiaTheme="majorEastAsia" w:hAnsiTheme="majorEastAsia" w:cstheme="majorEastAsia" w:hint="eastAsia"/>
          <w:sz w:val="24"/>
          <w:szCs w:val="24"/>
        </w:rPr>
        <w:t>3.1.2.1  绩效评价</w:t>
      </w:r>
      <w:bookmarkEnd w:id="5"/>
      <w:r>
        <w:rPr>
          <w:rFonts w:asciiTheme="majorEastAsia" w:eastAsiaTheme="majorEastAsia" w:hAnsiTheme="majorEastAsia" w:cstheme="majorEastAsia" w:hint="eastAsia"/>
          <w:sz w:val="24"/>
          <w:szCs w:val="24"/>
        </w:rPr>
        <w:t>原则</w:t>
      </w:r>
      <w:bookmarkEnd w:id="6"/>
    </w:p>
    <w:p w:rsidR="000B4904" w:rsidRDefault="007F7784">
      <w:pPr>
        <w:adjustRightInd w:val="0"/>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科学规范原则。根据项目类型，按照规范、公开、透明的要求制定科学、合理的绩效评价指标、评价标准、评价方法，严格执行规定的程序对</w:t>
      </w:r>
      <w:r w:rsidR="00C9093A">
        <w:rPr>
          <w:rFonts w:asciiTheme="majorEastAsia" w:eastAsiaTheme="majorEastAsia" w:hAnsiTheme="majorEastAsia" w:cstheme="majorEastAsia" w:hint="eastAsia"/>
          <w:sz w:val="24"/>
          <w:szCs w:val="24"/>
        </w:rPr>
        <w:t>随州市统计局</w:t>
      </w:r>
      <w:r>
        <w:rPr>
          <w:rFonts w:asciiTheme="majorEastAsia" w:eastAsiaTheme="majorEastAsia" w:hAnsiTheme="majorEastAsia" w:cstheme="majorEastAsia" w:hint="eastAsia"/>
          <w:sz w:val="24"/>
          <w:szCs w:val="24"/>
        </w:rPr>
        <w:t>部门预算整体支出项目进行客观、公正的评价。</w:t>
      </w:r>
    </w:p>
    <w:p w:rsidR="000B4904" w:rsidRDefault="007F7784">
      <w:pPr>
        <w:adjustRightInd w:val="0"/>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突出重点原则。根据项目实际情况，这次项目检查的重点从项目投入、过程、产出和效益四个方面进行评价。</w:t>
      </w:r>
    </w:p>
    <w:p w:rsidR="000B4904" w:rsidRDefault="007F7784">
      <w:pPr>
        <w:adjustRightInd w:val="0"/>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系统性原则。将定量指标与定性指标相结合，以定量分析为主、定性分析为辅，系统反映预算支出所产生的社会效益和经济效益等。</w:t>
      </w:r>
      <w:bookmarkStart w:id="7" w:name="_Toc419294952"/>
      <w:bookmarkStart w:id="8" w:name="_Toc452659698"/>
      <w:r>
        <w:rPr>
          <w:rFonts w:asciiTheme="majorEastAsia" w:eastAsiaTheme="majorEastAsia" w:hAnsiTheme="majorEastAsia" w:cstheme="majorEastAsia" w:hint="eastAsia"/>
          <w:sz w:val="24"/>
          <w:szCs w:val="24"/>
        </w:rPr>
        <w:t xml:space="preserve">  </w:t>
      </w:r>
      <w:bookmarkEnd w:id="7"/>
      <w:bookmarkEnd w:id="8"/>
    </w:p>
    <w:p w:rsidR="000B4904" w:rsidRDefault="007F7784">
      <w:pPr>
        <w:pStyle w:val="221"/>
        <w:adjustRightInd w:val="0"/>
        <w:snapToGrid w:val="0"/>
        <w:spacing w:line="360" w:lineRule="auto"/>
        <w:outlineLvl w:val="0"/>
        <w:rPr>
          <w:rFonts w:asciiTheme="majorEastAsia" w:eastAsiaTheme="majorEastAsia" w:hAnsiTheme="majorEastAsia" w:cstheme="majorEastAsia"/>
          <w:sz w:val="24"/>
          <w:szCs w:val="24"/>
        </w:rPr>
      </w:pPr>
      <w:bookmarkStart w:id="9" w:name="_Toc452659699"/>
      <w:bookmarkStart w:id="10" w:name="_Toc419294953"/>
      <w:r>
        <w:rPr>
          <w:rFonts w:asciiTheme="majorEastAsia" w:eastAsiaTheme="majorEastAsia" w:hAnsiTheme="majorEastAsia" w:cstheme="majorEastAsia" w:hint="eastAsia"/>
          <w:sz w:val="24"/>
          <w:szCs w:val="24"/>
        </w:rPr>
        <w:t>3.1.2.2 绩效评价框架</w:t>
      </w:r>
      <w:bookmarkEnd w:id="9"/>
      <w:bookmarkEnd w:id="10"/>
    </w:p>
    <w:p w:rsidR="000B4904" w:rsidRDefault="007F7784">
      <w:pPr>
        <w:adjustRightInd w:val="0"/>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绩效评价框架是开展绩效评价的核心。绩效评价框架包括评价准则、关键评价问题、评价指标、评分标准、证据、证据来源、证据收集方法等。</w:t>
      </w:r>
    </w:p>
    <w:p w:rsidR="000B4904" w:rsidRDefault="007F7784">
      <w:pPr>
        <w:adjustRightInd w:val="0"/>
        <w:snapToGrid w:val="0"/>
        <w:spacing w:line="360" w:lineRule="auto"/>
        <w:ind w:firstLineChars="200" w:firstLine="482"/>
        <w:rPr>
          <w:rFonts w:asciiTheme="majorEastAsia" w:eastAsiaTheme="majorEastAsia" w:hAnsiTheme="majorEastAsia" w:cstheme="majorEastAsia"/>
          <w:b/>
          <w:sz w:val="24"/>
          <w:szCs w:val="24"/>
        </w:rPr>
      </w:pPr>
      <w:bookmarkStart w:id="11" w:name="_Toc452655095"/>
      <w:r>
        <w:rPr>
          <w:rFonts w:asciiTheme="majorEastAsia" w:eastAsiaTheme="majorEastAsia" w:hAnsiTheme="majorEastAsia" w:cstheme="majorEastAsia" w:hint="eastAsia"/>
          <w:b/>
          <w:sz w:val="24"/>
          <w:szCs w:val="24"/>
        </w:rPr>
        <w:t>3.1.2.3 绩效评价指标与赋权</w:t>
      </w:r>
      <w:bookmarkEnd w:id="11"/>
    </w:p>
    <w:p w:rsidR="000B4904" w:rsidRDefault="007F7784">
      <w:pPr>
        <w:adjustRightInd w:val="0"/>
        <w:snapToGrid w:val="0"/>
        <w:spacing w:line="360" w:lineRule="auto"/>
        <w:ind w:firstLineChars="200" w:firstLine="480"/>
        <w:rPr>
          <w:rFonts w:asciiTheme="majorEastAsia" w:eastAsiaTheme="majorEastAsia" w:hAnsiTheme="majorEastAsia" w:cstheme="majorEastAsia"/>
          <w:color w:val="000000"/>
          <w:sz w:val="24"/>
          <w:szCs w:val="24"/>
        </w:rPr>
      </w:pPr>
      <w:r>
        <w:rPr>
          <w:rFonts w:asciiTheme="majorEastAsia" w:eastAsiaTheme="majorEastAsia" w:hAnsiTheme="majorEastAsia" w:cstheme="majorEastAsia" w:hint="eastAsia"/>
          <w:sz w:val="24"/>
          <w:szCs w:val="24"/>
        </w:rPr>
        <w:t>依据财政部《预算绩效评价共性指标体系框架》（财预〔2013〕53号）中部门整体支出绩效评价共性指标体系框架，结合项目实际情况，此次绩效评价在指标体系设计上共分为三个维</w:t>
      </w:r>
      <w:r>
        <w:rPr>
          <w:rFonts w:asciiTheme="majorEastAsia" w:eastAsiaTheme="majorEastAsia" w:hAnsiTheme="majorEastAsia" w:cstheme="majorEastAsia" w:hint="eastAsia"/>
          <w:color w:val="000000"/>
          <w:sz w:val="24"/>
          <w:szCs w:val="24"/>
        </w:rPr>
        <w:t>度。其中，一级指标4个，分别为投入、过程、产出、效益；二级指标6个，分别为目标设定、预算配置、预算执行、预算管理、资产管理、职责履行、履职效益；三级指标21个。</w:t>
      </w:r>
    </w:p>
    <w:p w:rsidR="000B4904" w:rsidRDefault="007F7784">
      <w:pPr>
        <w:adjustRightInd w:val="0"/>
        <w:snapToGrid w:val="0"/>
        <w:spacing w:line="360" w:lineRule="auto"/>
        <w:ind w:firstLineChars="200" w:firstLine="480"/>
        <w:rPr>
          <w:rFonts w:asciiTheme="majorEastAsia" w:eastAsiaTheme="majorEastAsia" w:hAnsiTheme="majorEastAsia" w:cstheme="majorEastAsia"/>
          <w:b/>
          <w:sz w:val="24"/>
          <w:szCs w:val="24"/>
        </w:rPr>
      </w:pPr>
      <w:r>
        <w:rPr>
          <w:rFonts w:asciiTheme="majorEastAsia" w:eastAsiaTheme="majorEastAsia" w:hAnsiTheme="majorEastAsia" w:cstheme="majorEastAsia" w:hint="eastAsia"/>
          <w:sz w:val="24"/>
          <w:szCs w:val="24"/>
        </w:rPr>
        <w:t>根据绩效预算管理模式的要求，评价重点是项目支出的成本效率、项目支出的结果和社会效益。为此，在对评价指标体系赋权上，我们在借鉴已有评价指标赋权的一些共同做法的基础上，降低了项目投入和过程的权重，增加了绩效指标的权重，尤其是产出和社会效益指标的权重。具体而言，采用百分制，项目投入和过程评价指标共占总分数的45%，产出和效益评价指标占总分数的55%，其中效益指标占总分数的</w:t>
      </w:r>
      <w:r>
        <w:rPr>
          <w:rFonts w:asciiTheme="majorEastAsia" w:eastAsiaTheme="majorEastAsia" w:hAnsiTheme="majorEastAsia" w:cstheme="majorEastAsia" w:hint="eastAsia"/>
          <w:color w:val="000000"/>
          <w:sz w:val="24"/>
          <w:szCs w:val="24"/>
        </w:rPr>
        <w:t>15%。</w:t>
      </w:r>
    </w:p>
    <w:p w:rsidR="000B4904" w:rsidRDefault="007F7784">
      <w:pPr>
        <w:adjustRightInd w:val="0"/>
        <w:snapToGrid w:val="0"/>
        <w:spacing w:line="360" w:lineRule="auto"/>
        <w:ind w:firstLineChars="200" w:firstLine="482"/>
        <w:rPr>
          <w:rFonts w:asciiTheme="majorEastAsia" w:eastAsiaTheme="majorEastAsia" w:hAnsiTheme="majorEastAsia" w:cstheme="majorEastAsia"/>
          <w:b/>
          <w:kern w:val="44"/>
          <w:sz w:val="24"/>
          <w:szCs w:val="24"/>
        </w:rPr>
      </w:pPr>
      <w:bookmarkStart w:id="12" w:name="_Toc452655096"/>
      <w:bookmarkStart w:id="13" w:name="_Toc419294954"/>
      <w:r>
        <w:rPr>
          <w:rFonts w:asciiTheme="majorEastAsia" w:eastAsiaTheme="majorEastAsia" w:hAnsiTheme="majorEastAsia" w:cstheme="majorEastAsia" w:hint="eastAsia"/>
          <w:b/>
          <w:kern w:val="44"/>
          <w:sz w:val="24"/>
          <w:szCs w:val="24"/>
        </w:rPr>
        <w:t>3.1.3 绩效评价标准</w:t>
      </w:r>
      <w:bookmarkEnd w:id="12"/>
    </w:p>
    <w:p w:rsidR="000B4904" w:rsidRDefault="007F7784">
      <w:pPr>
        <w:adjustRightInd w:val="0"/>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评价标准主要参照计划标准、行业标准、历史标准等。计划标准是指以预先制定的目标、计划、预算、定额等数据作为评价的标准。行业标准是指参照国家公布的行业指标数据制定的评价标准。历史标准是指参照同类指标的历史数据制定的评价标准。以经验数据和常识确定的标准是指根据财政经济活动发展规律和管理实践，由相关领域经验丰富的专家学者经过分析研究后得出的有关指标标准或惯例。</w:t>
      </w:r>
    </w:p>
    <w:p w:rsidR="000B4904" w:rsidRDefault="007F7784">
      <w:pPr>
        <w:adjustRightInd w:val="0"/>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lastRenderedPageBreak/>
        <w:t>投入和产出指标的评价主要依据文件制度的记录和现场核查，产出和效益指标的评价主要依据前一年执行结果分析等。</w:t>
      </w:r>
    </w:p>
    <w:p w:rsidR="000B4904" w:rsidRDefault="007F7784">
      <w:pPr>
        <w:adjustRightInd w:val="0"/>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评价结果级别评定是根据综合评分方法取得的计分结果确定所属等级。依照《湖北省财政项目资金绩效评价操作指南》（</w:t>
      </w:r>
      <w:proofErr w:type="gramStart"/>
      <w:r>
        <w:rPr>
          <w:rFonts w:asciiTheme="majorEastAsia" w:eastAsiaTheme="majorEastAsia" w:hAnsiTheme="majorEastAsia" w:cstheme="majorEastAsia" w:hint="eastAsia"/>
          <w:sz w:val="24"/>
          <w:szCs w:val="24"/>
        </w:rPr>
        <w:t>鄂财函〔2013〕</w:t>
      </w:r>
      <w:proofErr w:type="gramEnd"/>
      <w:r>
        <w:rPr>
          <w:rFonts w:asciiTheme="majorEastAsia" w:eastAsiaTheme="majorEastAsia" w:hAnsiTheme="majorEastAsia" w:cstheme="majorEastAsia" w:hint="eastAsia"/>
          <w:sz w:val="24"/>
          <w:szCs w:val="24"/>
        </w:rPr>
        <w:t>376号），本次评价结果类型包括A+、A、B+、B、C、D六种，相对应评价结果级别为优、良、中、差。</w:t>
      </w:r>
    </w:p>
    <w:p w:rsidR="000B4904" w:rsidRDefault="007F7784">
      <w:pPr>
        <w:adjustRightInd w:val="0"/>
        <w:snapToGrid w:val="0"/>
        <w:spacing w:line="360" w:lineRule="auto"/>
        <w:ind w:firstLineChars="900" w:firstLine="2168"/>
        <w:rPr>
          <w:rFonts w:asciiTheme="majorEastAsia" w:eastAsiaTheme="majorEastAsia" w:hAnsiTheme="majorEastAsia" w:cstheme="majorEastAsia"/>
          <w:b/>
          <w:kern w:val="0"/>
          <w:sz w:val="24"/>
          <w:szCs w:val="24"/>
        </w:rPr>
      </w:pPr>
      <w:r>
        <w:rPr>
          <w:rFonts w:asciiTheme="majorEastAsia" w:eastAsiaTheme="majorEastAsia" w:hAnsiTheme="majorEastAsia" w:cstheme="majorEastAsia" w:hint="eastAsia"/>
          <w:b/>
          <w:kern w:val="0"/>
          <w:sz w:val="24"/>
          <w:szCs w:val="24"/>
        </w:rPr>
        <w:t>财政项目绩效评价计分结果级别评定对照表</w:t>
      </w:r>
    </w:p>
    <w:tbl>
      <w:tblPr>
        <w:tblW w:w="7745" w:type="dxa"/>
        <w:jc w:val="center"/>
        <w:tblLayout w:type="fixed"/>
        <w:tblLook w:val="04A0"/>
      </w:tblPr>
      <w:tblGrid>
        <w:gridCol w:w="3032"/>
        <w:gridCol w:w="2320"/>
        <w:gridCol w:w="2393"/>
      </w:tblGrid>
      <w:tr w:rsidR="000B4904">
        <w:trPr>
          <w:trHeight w:val="397"/>
          <w:jc w:val="center"/>
        </w:trPr>
        <w:tc>
          <w:tcPr>
            <w:tcW w:w="3032" w:type="dxa"/>
            <w:tcBorders>
              <w:top w:val="single" w:sz="4" w:space="0" w:color="auto"/>
              <w:left w:val="single" w:sz="4" w:space="0" w:color="auto"/>
              <w:bottom w:val="single" w:sz="4" w:space="0" w:color="auto"/>
              <w:right w:val="single" w:sz="4" w:space="0" w:color="auto"/>
            </w:tcBorders>
            <w:vAlign w:val="center"/>
          </w:tcPr>
          <w:p w:rsidR="000B4904" w:rsidRDefault="007F7784">
            <w:pPr>
              <w:widowControl/>
              <w:adjustRightInd w:val="0"/>
              <w:snapToGrid w:val="0"/>
              <w:spacing w:line="360" w:lineRule="auto"/>
              <w:jc w:val="center"/>
              <w:rPr>
                <w:rFonts w:asciiTheme="majorEastAsia" w:eastAsiaTheme="majorEastAsia" w:hAnsiTheme="majorEastAsia" w:cstheme="majorEastAsia"/>
                <w:b/>
                <w:kern w:val="0"/>
                <w:sz w:val="24"/>
                <w:szCs w:val="24"/>
              </w:rPr>
            </w:pPr>
            <w:r>
              <w:rPr>
                <w:rFonts w:asciiTheme="majorEastAsia" w:eastAsiaTheme="majorEastAsia" w:hAnsiTheme="majorEastAsia" w:cstheme="majorEastAsia" w:hint="eastAsia"/>
                <w:b/>
                <w:kern w:val="0"/>
                <w:sz w:val="24"/>
                <w:szCs w:val="24"/>
              </w:rPr>
              <w:t>评价计分结果</w:t>
            </w:r>
          </w:p>
        </w:tc>
        <w:tc>
          <w:tcPr>
            <w:tcW w:w="2320" w:type="dxa"/>
            <w:tcBorders>
              <w:top w:val="single" w:sz="4" w:space="0" w:color="auto"/>
              <w:left w:val="single" w:sz="4" w:space="0" w:color="auto"/>
              <w:bottom w:val="single" w:sz="4" w:space="0" w:color="auto"/>
              <w:right w:val="single" w:sz="4" w:space="0" w:color="auto"/>
            </w:tcBorders>
            <w:vAlign w:val="center"/>
          </w:tcPr>
          <w:p w:rsidR="000B4904" w:rsidRDefault="007F7784">
            <w:pPr>
              <w:widowControl/>
              <w:adjustRightInd w:val="0"/>
              <w:snapToGrid w:val="0"/>
              <w:spacing w:line="360" w:lineRule="auto"/>
              <w:jc w:val="center"/>
              <w:rPr>
                <w:rFonts w:asciiTheme="majorEastAsia" w:eastAsiaTheme="majorEastAsia" w:hAnsiTheme="majorEastAsia" w:cstheme="majorEastAsia"/>
                <w:b/>
                <w:kern w:val="0"/>
                <w:sz w:val="24"/>
                <w:szCs w:val="24"/>
              </w:rPr>
            </w:pPr>
            <w:r>
              <w:rPr>
                <w:rFonts w:asciiTheme="majorEastAsia" w:eastAsiaTheme="majorEastAsia" w:hAnsiTheme="majorEastAsia" w:cstheme="majorEastAsia" w:hint="eastAsia"/>
                <w:b/>
                <w:kern w:val="0"/>
                <w:sz w:val="24"/>
                <w:szCs w:val="24"/>
              </w:rPr>
              <w:t>评价结果类型</w:t>
            </w:r>
          </w:p>
        </w:tc>
        <w:tc>
          <w:tcPr>
            <w:tcW w:w="2393" w:type="dxa"/>
            <w:tcBorders>
              <w:top w:val="single" w:sz="4" w:space="0" w:color="auto"/>
              <w:left w:val="single" w:sz="4" w:space="0" w:color="auto"/>
              <w:bottom w:val="single" w:sz="4" w:space="0" w:color="auto"/>
              <w:right w:val="single" w:sz="4" w:space="0" w:color="auto"/>
            </w:tcBorders>
            <w:vAlign w:val="center"/>
          </w:tcPr>
          <w:p w:rsidR="000B4904" w:rsidRDefault="007F7784">
            <w:pPr>
              <w:widowControl/>
              <w:adjustRightInd w:val="0"/>
              <w:snapToGrid w:val="0"/>
              <w:spacing w:line="360" w:lineRule="auto"/>
              <w:jc w:val="center"/>
              <w:rPr>
                <w:rFonts w:asciiTheme="majorEastAsia" w:eastAsiaTheme="majorEastAsia" w:hAnsiTheme="majorEastAsia" w:cstheme="majorEastAsia"/>
                <w:b/>
                <w:kern w:val="0"/>
                <w:sz w:val="24"/>
                <w:szCs w:val="24"/>
              </w:rPr>
            </w:pPr>
            <w:r>
              <w:rPr>
                <w:rFonts w:asciiTheme="majorEastAsia" w:eastAsiaTheme="majorEastAsia" w:hAnsiTheme="majorEastAsia" w:cstheme="majorEastAsia" w:hint="eastAsia"/>
                <w:b/>
                <w:kern w:val="0"/>
                <w:sz w:val="24"/>
                <w:szCs w:val="24"/>
              </w:rPr>
              <w:t>评价结果级别</w:t>
            </w:r>
          </w:p>
        </w:tc>
      </w:tr>
      <w:tr w:rsidR="000B4904">
        <w:trPr>
          <w:trHeight w:val="397"/>
          <w:jc w:val="center"/>
        </w:trPr>
        <w:tc>
          <w:tcPr>
            <w:tcW w:w="3032" w:type="dxa"/>
            <w:tcBorders>
              <w:top w:val="nil"/>
              <w:left w:val="single" w:sz="8" w:space="0" w:color="auto"/>
              <w:bottom w:val="single" w:sz="8" w:space="0" w:color="auto"/>
              <w:right w:val="single" w:sz="8" w:space="0" w:color="auto"/>
            </w:tcBorders>
            <w:vAlign w:val="center"/>
          </w:tcPr>
          <w:p w:rsidR="000B4904" w:rsidRDefault="007F7784">
            <w:pPr>
              <w:widowControl/>
              <w:adjustRightInd w:val="0"/>
              <w:snapToGrid w:val="0"/>
              <w:spacing w:line="360" w:lineRule="auto"/>
              <w:jc w:val="center"/>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90分～100分（含90分）</w:t>
            </w:r>
          </w:p>
        </w:tc>
        <w:tc>
          <w:tcPr>
            <w:tcW w:w="2320" w:type="dxa"/>
            <w:tcBorders>
              <w:top w:val="nil"/>
              <w:left w:val="nil"/>
              <w:bottom w:val="single" w:sz="8" w:space="0" w:color="auto"/>
              <w:right w:val="single" w:sz="8" w:space="0" w:color="auto"/>
            </w:tcBorders>
            <w:vAlign w:val="center"/>
          </w:tcPr>
          <w:p w:rsidR="000B4904" w:rsidRDefault="007F7784">
            <w:pPr>
              <w:widowControl/>
              <w:adjustRightInd w:val="0"/>
              <w:snapToGrid w:val="0"/>
              <w:spacing w:line="360" w:lineRule="auto"/>
              <w:jc w:val="center"/>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A+</w:t>
            </w:r>
          </w:p>
        </w:tc>
        <w:tc>
          <w:tcPr>
            <w:tcW w:w="2393" w:type="dxa"/>
            <w:tcBorders>
              <w:top w:val="nil"/>
              <w:left w:val="nil"/>
              <w:bottom w:val="single" w:sz="8" w:space="0" w:color="auto"/>
              <w:right w:val="single" w:sz="8" w:space="0" w:color="auto"/>
            </w:tcBorders>
            <w:vAlign w:val="center"/>
          </w:tcPr>
          <w:p w:rsidR="000B4904" w:rsidRDefault="007F7784">
            <w:pPr>
              <w:widowControl/>
              <w:adjustRightInd w:val="0"/>
              <w:snapToGrid w:val="0"/>
              <w:spacing w:line="360" w:lineRule="auto"/>
              <w:jc w:val="center"/>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优</w:t>
            </w:r>
          </w:p>
        </w:tc>
      </w:tr>
      <w:tr w:rsidR="000B4904">
        <w:trPr>
          <w:trHeight w:val="397"/>
          <w:jc w:val="center"/>
        </w:trPr>
        <w:tc>
          <w:tcPr>
            <w:tcW w:w="3032" w:type="dxa"/>
            <w:tcBorders>
              <w:top w:val="nil"/>
              <w:left w:val="single" w:sz="8" w:space="0" w:color="auto"/>
              <w:bottom w:val="single" w:sz="8" w:space="0" w:color="auto"/>
              <w:right w:val="single" w:sz="8" w:space="0" w:color="auto"/>
            </w:tcBorders>
            <w:vAlign w:val="center"/>
          </w:tcPr>
          <w:p w:rsidR="000B4904" w:rsidRDefault="007F7784">
            <w:pPr>
              <w:widowControl/>
              <w:adjustRightInd w:val="0"/>
              <w:snapToGrid w:val="0"/>
              <w:spacing w:line="360" w:lineRule="auto"/>
              <w:jc w:val="center"/>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85分～90分（含85分）</w:t>
            </w:r>
          </w:p>
        </w:tc>
        <w:tc>
          <w:tcPr>
            <w:tcW w:w="2320" w:type="dxa"/>
            <w:tcBorders>
              <w:top w:val="nil"/>
              <w:left w:val="nil"/>
              <w:bottom w:val="single" w:sz="8" w:space="0" w:color="auto"/>
              <w:right w:val="single" w:sz="8" w:space="0" w:color="auto"/>
            </w:tcBorders>
            <w:vAlign w:val="center"/>
          </w:tcPr>
          <w:p w:rsidR="000B4904" w:rsidRDefault="007F7784">
            <w:pPr>
              <w:widowControl/>
              <w:adjustRightInd w:val="0"/>
              <w:snapToGrid w:val="0"/>
              <w:spacing w:line="360" w:lineRule="auto"/>
              <w:jc w:val="center"/>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A</w:t>
            </w:r>
          </w:p>
        </w:tc>
        <w:tc>
          <w:tcPr>
            <w:tcW w:w="2393" w:type="dxa"/>
            <w:tcBorders>
              <w:top w:val="nil"/>
              <w:left w:val="nil"/>
              <w:bottom w:val="single" w:sz="8" w:space="0" w:color="auto"/>
              <w:right w:val="single" w:sz="8" w:space="0" w:color="auto"/>
            </w:tcBorders>
            <w:vAlign w:val="center"/>
          </w:tcPr>
          <w:p w:rsidR="000B4904" w:rsidRDefault="007F7784">
            <w:pPr>
              <w:widowControl/>
              <w:adjustRightInd w:val="0"/>
              <w:snapToGrid w:val="0"/>
              <w:spacing w:line="360" w:lineRule="auto"/>
              <w:jc w:val="center"/>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优</w:t>
            </w:r>
          </w:p>
        </w:tc>
      </w:tr>
      <w:tr w:rsidR="000B4904">
        <w:trPr>
          <w:trHeight w:val="397"/>
          <w:jc w:val="center"/>
        </w:trPr>
        <w:tc>
          <w:tcPr>
            <w:tcW w:w="3032" w:type="dxa"/>
            <w:tcBorders>
              <w:top w:val="nil"/>
              <w:left w:val="single" w:sz="8" w:space="0" w:color="auto"/>
              <w:bottom w:val="single" w:sz="8" w:space="0" w:color="auto"/>
              <w:right w:val="single" w:sz="8" w:space="0" w:color="auto"/>
            </w:tcBorders>
            <w:vAlign w:val="center"/>
          </w:tcPr>
          <w:p w:rsidR="000B4904" w:rsidRDefault="007F7784">
            <w:pPr>
              <w:widowControl/>
              <w:adjustRightInd w:val="0"/>
              <w:snapToGrid w:val="0"/>
              <w:spacing w:line="360" w:lineRule="auto"/>
              <w:jc w:val="center"/>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80分～85分（含80分）</w:t>
            </w:r>
          </w:p>
        </w:tc>
        <w:tc>
          <w:tcPr>
            <w:tcW w:w="2320" w:type="dxa"/>
            <w:tcBorders>
              <w:top w:val="nil"/>
              <w:left w:val="nil"/>
              <w:bottom w:val="single" w:sz="8" w:space="0" w:color="auto"/>
              <w:right w:val="single" w:sz="8" w:space="0" w:color="auto"/>
            </w:tcBorders>
            <w:vAlign w:val="center"/>
          </w:tcPr>
          <w:p w:rsidR="000B4904" w:rsidRDefault="007F7784">
            <w:pPr>
              <w:widowControl/>
              <w:adjustRightInd w:val="0"/>
              <w:snapToGrid w:val="0"/>
              <w:spacing w:line="360" w:lineRule="auto"/>
              <w:jc w:val="center"/>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B+</w:t>
            </w:r>
          </w:p>
        </w:tc>
        <w:tc>
          <w:tcPr>
            <w:tcW w:w="2393" w:type="dxa"/>
            <w:tcBorders>
              <w:top w:val="nil"/>
              <w:left w:val="nil"/>
              <w:bottom w:val="single" w:sz="8" w:space="0" w:color="auto"/>
              <w:right w:val="single" w:sz="8" w:space="0" w:color="auto"/>
            </w:tcBorders>
            <w:vAlign w:val="center"/>
          </w:tcPr>
          <w:p w:rsidR="000B4904" w:rsidRDefault="007F7784">
            <w:pPr>
              <w:widowControl/>
              <w:adjustRightInd w:val="0"/>
              <w:snapToGrid w:val="0"/>
              <w:spacing w:line="360" w:lineRule="auto"/>
              <w:jc w:val="center"/>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良</w:t>
            </w:r>
          </w:p>
        </w:tc>
      </w:tr>
      <w:tr w:rsidR="000B4904">
        <w:trPr>
          <w:trHeight w:val="397"/>
          <w:jc w:val="center"/>
        </w:trPr>
        <w:tc>
          <w:tcPr>
            <w:tcW w:w="3032" w:type="dxa"/>
            <w:tcBorders>
              <w:top w:val="nil"/>
              <w:left w:val="single" w:sz="8" w:space="0" w:color="auto"/>
              <w:bottom w:val="single" w:sz="8" w:space="0" w:color="auto"/>
              <w:right w:val="single" w:sz="8" w:space="0" w:color="auto"/>
            </w:tcBorders>
            <w:vAlign w:val="center"/>
          </w:tcPr>
          <w:p w:rsidR="000B4904" w:rsidRDefault="007F7784">
            <w:pPr>
              <w:widowControl/>
              <w:adjustRightInd w:val="0"/>
              <w:snapToGrid w:val="0"/>
              <w:spacing w:line="360" w:lineRule="auto"/>
              <w:jc w:val="center"/>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70分～80分（含70分）</w:t>
            </w:r>
          </w:p>
        </w:tc>
        <w:tc>
          <w:tcPr>
            <w:tcW w:w="2320" w:type="dxa"/>
            <w:tcBorders>
              <w:top w:val="nil"/>
              <w:left w:val="nil"/>
              <w:bottom w:val="single" w:sz="8" w:space="0" w:color="auto"/>
              <w:right w:val="single" w:sz="8" w:space="0" w:color="auto"/>
            </w:tcBorders>
            <w:vAlign w:val="center"/>
          </w:tcPr>
          <w:p w:rsidR="000B4904" w:rsidRDefault="007F7784">
            <w:pPr>
              <w:widowControl/>
              <w:adjustRightInd w:val="0"/>
              <w:snapToGrid w:val="0"/>
              <w:spacing w:line="360" w:lineRule="auto"/>
              <w:jc w:val="center"/>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B</w:t>
            </w:r>
          </w:p>
        </w:tc>
        <w:tc>
          <w:tcPr>
            <w:tcW w:w="2393" w:type="dxa"/>
            <w:tcBorders>
              <w:top w:val="nil"/>
              <w:left w:val="nil"/>
              <w:bottom w:val="single" w:sz="8" w:space="0" w:color="auto"/>
              <w:right w:val="single" w:sz="8" w:space="0" w:color="auto"/>
            </w:tcBorders>
            <w:vAlign w:val="center"/>
          </w:tcPr>
          <w:p w:rsidR="000B4904" w:rsidRDefault="007F7784">
            <w:pPr>
              <w:widowControl/>
              <w:adjustRightInd w:val="0"/>
              <w:snapToGrid w:val="0"/>
              <w:spacing w:line="360" w:lineRule="auto"/>
              <w:jc w:val="center"/>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良</w:t>
            </w:r>
          </w:p>
        </w:tc>
      </w:tr>
      <w:tr w:rsidR="000B4904">
        <w:trPr>
          <w:trHeight w:val="397"/>
          <w:jc w:val="center"/>
        </w:trPr>
        <w:tc>
          <w:tcPr>
            <w:tcW w:w="3032" w:type="dxa"/>
            <w:tcBorders>
              <w:top w:val="nil"/>
              <w:left w:val="single" w:sz="8" w:space="0" w:color="auto"/>
              <w:bottom w:val="single" w:sz="8" w:space="0" w:color="auto"/>
              <w:right w:val="single" w:sz="8" w:space="0" w:color="auto"/>
            </w:tcBorders>
            <w:vAlign w:val="center"/>
          </w:tcPr>
          <w:p w:rsidR="000B4904" w:rsidRDefault="007F7784">
            <w:pPr>
              <w:widowControl/>
              <w:adjustRightInd w:val="0"/>
              <w:snapToGrid w:val="0"/>
              <w:spacing w:line="360" w:lineRule="auto"/>
              <w:jc w:val="center"/>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60分～70分（含60分）</w:t>
            </w:r>
          </w:p>
        </w:tc>
        <w:tc>
          <w:tcPr>
            <w:tcW w:w="2320" w:type="dxa"/>
            <w:tcBorders>
              <w:top w:val="nil"/>
              <w:left w:val="nil"/>
              <w:bottom w:val="single" w:sz="8" w:space="0" w:color="auto"/>
              <w:right w:val="single" w:sz="8" w:space="0" w:color="auto"/>
            </w:tcBorders>
            <w:vAlign w:val="center"/>
          </w:tcPr>
          <w:p w:rsidR="000B4904" w:rsidRDefault="007F7784">
            <w:pPr>
              <w:widowControl/>
              <w:adjustRightInd w:val="0"/>
              <w:snapToGrid w:val="0"/>
              <w:spacing w:line="360" w:lineRule="auto"/>
              <w:jc w:val="center"/>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C</w:t>
            </w:r>
          </w:p>
        </w:tc>
        <w:tc>
          <w:tcPr>
            <w:tcW w:w="2393" w:type="dxa"/>
            <w:tcBorders>
              <w:top w:val="nil"/>
              <w:left w:val="nil"/>
              <w:bottom w:val="single" w:sz="8" w:space="0" w:color="auto"/>
              <w:right w:val="single" w:sz="8" w:space="0" w:color="auto"/>
            </w:tcBorders>
            <w:vAlign w:val="center"/>
          </w:tcPr>
          <w:p w:rsidR="000B4904" w:rsidRDefault="007F7784">
            <w:pPr>
              <w:widowControl/>
              <w:adjustRightInd w:val="0"/>
              <w:snapToGrid w:val="0"/>
              <w:spacing w:line="360" w:lineRule="auto"/>
              <w:jc w:val="center"/>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中</w:t>
            </w:r>
          </w:p>
        </w:tc>
      </w:tr>
      <w:tr w:rsidR="000B4904">
        <w:trPr>
          <w:trHeight w:val="397"/>
          <w:jc w:val="center"/>
        </w:trPr>
        <w:tc>
          <w:tcPr>
            <w:tcW w:w="3032" w:type="dxa"/>
            <w:tcBorders>
              <w:top w:val="nil"/>
              <w:left w:val="single" w:sz="8" w:space="0" w:color="auto"/>
              <w:bottom w:val="single" w:sz="8" w:space="0" w:color="auto"/>
              <w:right w:val="single" w:sz="8" w:space="0" w:color="auto"/>
            </w:tcBorders>
            <w:vAlign w:val="center"/>
          </w:tcPr>
          <w:p w:rsidR="000B4904" w:rsidRDefault="007F7784">
            <w:pPr>
              <w:widowControl/>
              <w:adjustRightInd w:val="0"/>
              <w:snapToGrid w:val="0"/>
              <w:spacing w:line="360" w:lineRule="auto"/>
              <w:jc w:val="center"/>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60分以下</w:t>
            </w:r>
          </w:p>
        </w:tc>
        <w:tc>
          <w:tcPr>
            <w:tcW w:w="2320" w:type="dxa"/>
            <w:tcBorders>
              <w:top w:val="nil"/>
              <w:left w:val="nil"/>
              <w:bottom w:val="single" w:sz="8" w:space="0" w:color="auto"/>
              <w:right w:val="single" w:sz="8" w:space="0" w:color="auto"/>
            </w:tcBorders>
            <w:vAlign w:val="center"/>
          </w:tcPr>
          <w:p w:rsidR="000B4904" w:rsidRDefault="007F7784">
            <w:pPr>
              <w:widowControl/>
              <w:adjustRightInd w:val="0"/>
              <w:snapToGrid w:val="0"/>
              <w:spacing w:line="360" w:lineRule="auto"/>
              <w:jc w:val="center"/>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D</w:t>
            </w:r>
          </w:p>
        </w:tc>
        <w:tc>
          <w:tcPr>
            <w:tcW w:w="2393" w:type="dxa"/>
            <w:tcBorders>
              <w:top w:val="nil"/>
              <w:left w:val="nil"/>
              <w:bottom w:val="single" w:sz="8" w:space="0" w:color="auto"/>
              <w:right w:val="single" w:sz="8" w:space="0" w:color="auto"/>
            </w:tcBorders>
            <w:vAlign w:val="center"/>
          </w:tcPr>
          <w:p w:rsidR="000B4904" w:rsidRDefault="007F7784">
            <w:pPr>
              <w:widowControl/>
              <w:adjustRightInd w:val="0"/>
              <w:snapToGrid w:val="0"/>
              <w:spacing w:line="360" w:lineRule="auto"/>
              <w:jc w:val="center"/>
              <w:rPr>
                <w:rFonts w:asciiTheme="majorEastAsia" w:eastAsiaTheme="majorEastAsia" w:hAnsiTheme="majorEastAsia" w:cstheme="majorEastAsia"/>
                <w:kern w:val="0"/>
                <w:sz w:val="24"/>
                <w:szCs w:val="24"/>
              </w:rPr>
            </w:pPr>
            <w:r>
              <w:rPr>
                <w:rFonts w:asciiTheme="majorEastAsia" w:eastAsiaTheme="majorEastAsia" w:hAnsiTheme="majorEastAsia" w:cstheme="majorEastAsia" w:hint="eastAsia"/>
                <w:kern w:val="0"/>
                <w:sz w:val="24"/>
                <w:szCs w:val="24"/>
              </w:rPr>
              <w:t>差</w:t>
            </w:r>
          </w:p>
        </w:tc>
      </w:tr>
    </w:tbl>
    <w:p w:rsidR="000B4904" w:rsidRDefault="007F7784">
      <w:pPr>
        <w:pStyle w:val="221"/>
        <w:adjustRightInd w:val="0"/>
        <w:snapToGrid w:val="0"/>
        <w:spacing w:line="360" w:lineRule="auto"/>
        <w:outlineLvl w:val="0"/>
        <w:rPr>
          <w:rFonts w:asciiTheme="majorEastAsia" w:eastAsiaTheme="majorEastAsia" w:hAnsiTheme="majorEastAsia" w:cstheme="majorEastAsia"/>
          <w:sz w:val="24"/>
          <w:szCs w:val="24"/>
        </w:rPr>
      </w:pPr>
      <w:bookmarkStart w:id="14" w:name="_Toc452659701"/>
      <w:bookmarkStart w:id="15" w:name="_Toc419294955"/>
      <w:bookmarkEnd w:id="13"/>
      <w:r>
        <w:rPr>
          <w:rFonts w:asciiTheme="majorEastAsia" w:eastAsiaTheme="majorEastAsia" w:hAnsiTheme="majorEastAsia" w:cstheme="majorEastAsia" w:hint="eastAsia"/>
          <w:sz w:val="24"/>
          <w:szCs w:val="24"/>
        </w:rPr>
        <w:t>3.1.4 绩效评价实施过程</w:t>
      </w:r>
      <w:bookmarkEnd w:id="14"/>
      <w:bookmarkEnd w:id="15"/>
    </w:p>
    <w:p w:rsidR="000B4904" w:rsidRDefault="007F7784">
      <w:pPr>
        <w:adjustRightInd w:val="0"/>
        <w:snapToGrid w:val="0"/>
        <w:spacing w:line="360" w:lineRule="auto"/>
        <w:ind w:firstLineChars="200" w:firstLine="480"/>
        <w:rPr>
          <w:rFonts w:asciiTheme="majorEastAsia" w:eastAsiaTheme="majorEastAsia" w:hAnsiTheme="majorEastAsia" w:cstheme="majorEastAsia"/>
          <w:spacing w:val="4"/>
          <w:sz w:val="24"/>
          <w:szCs w:val="24"/>
        </w:rPr>
      </w:pPr>
      <w:r>
        <w:rPr>
          <w:rFonts w:asciiTheme="majorEastAsia" w:eastAsiaTheme="majorEastAsia" w:hAnsiTheme="majorEastAsia" w:cstheme="majorEastAsia" w:hint="eastAsia"/>
          <w:sz w:val="24"/>
          <w:szCs w:val="24"/>
        </w:rPr>
        <w:t>根据市财政局《关于开展2017年度市级财政支出绩效评价工作的通知》要求，</w:t>
      </w:r>
      <w:r>
        <w:rPr>
          <w:rFonts w:asciiTheme="majorEastAsia" w:eastAsiaTheme="majorEastAsia" w:hAnsiTheme="majorEastAsia" w:cstheme="majorEastAsia" w:hint="eastAsia"/>
          <w:spacing w:val="4"/>
          <w:sz w:val="24"/>
          <w:szCs w:val="24"/>
        </w:rPr>
        <w:t>要求项目实施单位根据通知，组织人员自查、自评，并编写项目绩效自评报告。</w:t>
      </w:r>
      <w:bookmarkStart w:id="16" w:name="_Toc452659703"/>
    </w:p>
    <w:p w:rsidR="000B4904" w:rsidRDefault="007F7784">
      <w:pPr>
        <w:adjustRightInd w:val="0"/>
        <w:snapToGrid w:val="0"/>
        <w:spacing w:line="360" w:lineRule="auto"/>
        <w:ind w:firstLineChars="200" w:firstLine="482"/>
        <w:rPr>
          <w:rFonts w:asciiTheme="majorEastAsia" w:eastAsiaTheme="majorEastAsia" w:hAnsiTheme="majorEastAsia" w:cstheme="majorEastAsia"/>
          <w:b/>
          <w:bCs/>
          <w:kern w:val="0"/>
          <w:sz w:val="24"/>
          <w:szCs w:val="24"/>
        </w:rPr>
      </w:pPr>
      <w:r>
        <w:rPr>
          <w:rFonts w:asciiTheme="majorEastAsia" w:eastAsiaTheme="majorEastAsia" w:hAnsiTheme="majorEastAsia" w:cstheme="majorEastAsia" w:hint="eastAsia"/>
          <w:b/>
          <w:bCs/>
          <w:kern w:val="0"/>
          <w:sz w:val="24"/>
          <w:szCs w:val="24"/>
        </w:rPr>
        <w:t>3.1.5项目绩效分析及评价结论</w:t>
      </w:r>
      <w:bookmarkEnd w:id="16"/>
    </w:p>
    <w:p w:rsidR="000B4904" w:rsidRDefault="007F7784">
      <w:pPr>
        <w:pStyle w:val="221"/>
        <w:adjustRightInd w:val="0"/>
        <w:snapToGrid w:val="0"/>
        <w:spacing w:line="360" w:lineRule="auto"/>
        <w:outlineLvl w:val="0"/>
        <w:rPr>
          <w:rFonts w:asciiTheme="majorEastAsia" w:eastAsiaTheme="majorEastAsia" w:hAnsiTheme="majorEastAsia" w:cstheme="majorEastAsia"/>
          <w:sz w:val="24"/>
          <w:szCs w:val="24"/>
        </w:rPr>
      </w:pPr>
      <w:bookmarkStart w:id="17" w:name="_Toc452659704"/>
      <w:r>
        <w:rPr>
          <w:rFonts w:asciiTheme="majorEastAsia" w:eastAsiaTheme="majorEastAsia" w:hAnsiTheme="majorEastAsia" w:cstheme="majorEastAsia" w:hint="eastAsia"/>
          <w:sz w:val="24"/>
          <w:szCs w:val="24"/>
        </w:rPr>
        <w:t>3.1.5.1  投入</w:t>
      </w:r>
      <w:bookmarkEnd w:id="17"/>
    </w:p>
    <w:p w:rsidR="000B4904" w:rsidRDefault="007F7784">
      <w:pPr>
        <w:adjustRightInd w:val="0"/>
        <w:snapToGrid w:val="0"/>
        <w:spacing w:line="360" w:lineRule="auto"/>
        <w:ind w:firstLineChars="200" w:firstLine="480"/>
        <w:rPr>
          <w:rFonts w:asciiTheme="majorEastAsia" w:eastAsiaTheme="majorEastAsia" w:hAnsiTheme="majorEastAsia" w:cstheme="majorEastAsia"/>
          <w:bCs/>
          <w:kern w:val="44"/>
          <w:sz w:val="24"/>
          <w:szCs w:val="24"/>
        </w:rPr>
      </w:pPr>
      <w:bookmarkStart w:id="18" w:name="_Toc452655110"/>
      <w:r>
        <w:rPr>
          <w:rFonts w:asciiTheme="majorEastAsia" w:eastAsiaTheme="majorEastAsia" w:hAnsiTheme="majorEastAsia" w:cstheme="majorEastAsia" w:hint="eastAsia"/>
          <w:bCs/>
          <w:kern w:val="44"/>
          <w:sz w:val="24"/>
          <w:szCs w:val="24"/>
        </w:rPr>
        <w:t>3.1.5.1.1  绩效目标合理性</w:t>
      </w:r>
      <w:bookmarkEnd w:id="18"/>
    </w:p>
    <w:p w:rsidR="000B4904" w:rsidRDefault="007F7784">
      <w:pPr>
        <w:adjustRightInd w:val="0"/>
        <w:snapToGrid w:val="0"/>
        <w:spacing w:line="360" w:lineRule="auto"/>
        <w:ind w:left="-15" w:firstLine="560"/>
        <w:rPr>
          <w:rFonts w:asciiTheme="majorEastAsia" w:eastAsiaTheme="majorEastAsia" w:hAnsiTheme="majorEastAsia" w:cstheme="majorEastAsia"/>
          <w:bCs/>
          <w:sz w:val="24"/>
          <w:szCs w:val="24"/>
        </w:rPr>
      </w:pPr>
      <w:r>
        <w:rPr>
          <w:rFonts w:asciiTheme="majorEastAsia" w:eastAsiaTheme="majorEastAsia" w:hAnsiTheme="majorEastAsia" w:cstheme="majorEastAsia" w:hint="eastAsia"/>
          <w:bCs/>
          <w:sz w:val="24"/>
          <w:szCs w:val="24"/>
        </w:rPr>
        <w:t>我们认为，项目制定了长期目标和年度目标。项目绩效目标设立符合市委市政府赋予以随州市统计局职责。项目的顺利实施，对于全面深化改革，促进地方经济发展，保护人民合法权益具有重要意义。</w:t>
      </w:r>
    </w:p>
    <w:p w:rsidR="000B4904" w:rsidRDefault="007F7784">
      <w:pPr>
        <w:adjustRightInd w:val="0"/>
        <w:snapToGrid w:val="0"/>
        <w:spacing w:line="360" w:lineRule="auto"/>
        <w:ind w:firstLineChars="200" w:firstLine="480"/>
        <w:rPr>
          <w:rFonts w:asciiTheme="majorEastAsia" w:eastAsiaTheme="majorEastAsia" w:hAnsiTheme="majorEastAsia" w:cstheme="majorEastAsia"/>
          <w:bCs/>
          <w:kern w:val="44"/>
          <w:sz w:val="24"/>
          <w:szCs w:val="24"/>
        </w:rPr>
      </w:pPr>
      <w:bookmarkStart w:id="19" w:name="_Toc452655111"/>
      <w:r>
        <w:rPr>
          <w:rFonts w:asciiTheme="majorEastAsia" w:eastAsiaTheme="majorEastAsia" w:hAnsiTheme="majorEastAsia" w:cstheme="majorEastAsia" w:hint="eastAsia"/>
          <w:bCs/>
          <w:kern w:val="44"/>
          <w:sz w:val="24"/>
          <w:szCs w:val="24"/>
        </w:rPr>
        <w:t>3.1.5.1.2  绩效指标明确性</w:t>
      </w:r>
      <w:bookmarkEnd w:id="19"/>
    </w:p>
    <w:p w:rsidR="000B4904" w:rsidRDefault="007F7784">
      <w:pPr>
        <w:adjustRightInd w:val="0"/>
        <w:snapToGrid w:val="0"/>
        <w:spacing w:line="360" w:lineRule="auto"/>
        <w:ind w:firstLineChars="200" w:firstLine="480"/>
        <w:rPr>
          <w:rFonts w:asciiTheme="majorEastAsia" w:eastAsiaTheme="majorEastAsia" w:hAnsiTheme="majorEastAsia" w:cstheme="majorEastAsia"/>
          <w:bCs/>
          <w:sz w:val="24"/>
          <w:szCs w:val="24"/>
        </w:rPr>
      </w:pPr>
      <w:r>
        <w:rPr>
          <w:rFonts w:asciiTheme="majorEastAsia" w:eastAsiaTheme="majorEastAsia" w:hAnsiTheme="majorEastAsia" w:cstheme="majorEastAsia" w:hint="eastAsia"/>
          <w:bCs/>
          <w:sz w:val="24"/>
          <w:szCs w:val="24"/>
        </w:rPr>
        <w:t>我们认为，项目依据整体绩效目标设定的绩效指标清晰、细化、可衡量。设置了32个绩效指标。</w:t>
      </w:r>
    </w:p>
    <w:p w:rsidR="000B4904" w:rsidRDefault="007F7784">
      <w:pPr>
        <w:adjustRightInd w:val="0"/>
        <w:snapToGrid w:val="0"/>
        <w:spacing w:line="360" w:lineRule="auto"/>
        <w:ind w:firstLineChars="200" w:firstLine="480"/>
        <w:rPr>
          <w:rFonts w:asciiTheme="majorEastAsia" w:eastAsiaTheme="majorEastAsia" w:hAnsiTheme="majorEastAsia" w:cstheme="majorEastAsia"/>
          <w:bCs/>
          <w:kern w:val="44"/>
          <w:sz w:val="24"/>
          <w:szCs w:val="24"/>
        </w:rPr>
      </w:pPr>
      <w:bookmarkStart w:id="20" w:name="_Toc452655112"/>
      <w:r>
        <w:rPr>
          <w:rFonts w:asciiTheme="majorEastAsia" w:eastAsiaTheme="majorEastAsia" w:hAnsiTheme="majorEastAsia" w:cstheme="majorEastAsia" w:hint="eastAsia"/>
          <w:bCs/>
          <w:kern w:val="44"/>
          <w:sz w:val="24"/>
          <w:szCs w:val="24"/>
        </w:rPr>
        <w:t>3.1.5.1.3  在职人员</w:t>
      </w:r>
      <w:bookmarkEnd w:id="20"/>
    </w:p>
    <w:p w:rsidR="000B4904" w:rsidRDefault="007F7784">
      <w:pPr>
        <w:adjustRightInd w:val="0"/>
        <w:snapToGrid w:val="0"/>
        <w:spacing w:line="360" w:lineRule="auto"/>
        <w:ind w:firstLineChars="200" w:firstLine="480"/>
        <w:rPr>
          <w:rFonts w:asciiTheme="majorEastAsia" w:eastAsiaTheme="majorEastAsia" w:hAnsiTheme="majorEastAsia" w:cstheme="majorEastAsia"/>
          <w:bCs/>
          <w:sz w:val="24"/>
          <w:szCs w:val="24"/>
        </w:rPr>
      </w:pPr>
      <w:r>
        <w:rPr>
          <w:rFonts w:asciiTheme="majorEastAsia" w:eastAsiaTheme="majorEastAsia" w:hAnsiTheme="majorEastAsia" w:cstheme="majorEastAsia" w:hint="eastAsia"/>
          <w:bCs/>
          <w:sz w:val="24"/>
          <w:szCs w:val="24"/>
        </w:rPr>
        <w:t>经审核，2017年末在职人员19人</w:t>
      </w:r>
      <w:bookmarkStart w:id="21" w:name="_Toc452655113"/>
      <w:r>
        <w:rPr>
          <w:rFonts w:asciiTheme="majorEastAsia" w:eastAsiaTheme="majorEastAsia" w:hAnsiTheme="majorEastAsia" w:cstheme="majorEastAsia" w:hint="eastAsia"/>
          <w:bCs/>
          <w:sz w:val="24"/>
          <w:szCs w:val="24"/>
        </w:rPr>
        <w:t>。</w:t>
      </w:r>
    </w:p>
    <w:p w:rsidR="000B4904" w:rsidRDefault="007F7784">
      <w:pPr>
        <w:adjustRightInd w:val="0"/>
        <w:snapToGrid w:val="0"/>
        <w:spacing w:line="360" w:lineRule="auto"/>
        <w:ind w:firstLineChars="200" w:firstLine="480"/>
        <w:rPr>
          <w:rFonts w:asciiTheme="majorEastAsia" w:eastAsiaTheme="majorEastAsia" w:hAnsiTheme="majorEastAsia" w:cstheme="majorEastAsia"/>
          <w:bCs/>
          <w:kern w:val="44"/>
          <w:sz w:val="24"/>
          <w:szCs w:val="24"/>
        </w:rPr>
      </w:pPr>
      <w:r>
        <w:rPr>
          <w:rFonts w:asciiTheme="majorEastAsia" w:eastAsiaTheme="majorEastAsia" w:hAnsiTheme="majorEastAsia" w:cstheme="majorEastAsia" w:hint="eastAsia"/>
          <w:bCs/>
          <w:kern w:val="44"/>
          <w:sz w:val="24"/>
          <w:szCs w:val="24"/>
        </w:rPr>
        <w:t>3.1.5.1.4  “三公经费”</w:t>
      </w:r>
      <w:bookmarkEnd w:id="21"/>
    </w:p>
    <w:p w:rsidR="000B4904" w:rsidRDefault="007F7784">
      <w:pPr>
        <w:adjustRightInd w:val="0"/>
        <w:snapToGrid w:val="0"/>
        <w:spacing w:line="360" w:lineRule="auto"/>
        <w:ind w:firstLineChars="200" w:firstLine="480"/>
        <w:rPr>
          <w:rFonts w:asciiTheme="majorEastAsia" w:eastAsiaTheme="majorEastAsia" w:hAnsiTheme="majorEastAsia" w:cstheme="majorEastAsia"/>
          <w:bCs/>
          <w:color w:val="000000"/>
          <w:sz w:val="24"/>
          <w:szCs w:val="24"/>
        </w:rPr>
      </w:pPr>
      <w:r>
        <w:rPr>
          <w:rFonts w:asciiTheme="majorEastAsia" w:eastAsiaTheme="majorEastAsia" w:hAnsiTheme="majorEastAsia" w:cstheme="majorEastAsia" w:hint="eastAsia"/>
          <w:bCs/>
          <w:sz w:val="24"/>
          <w:szCs w:val="24"/>
        </w:rPr>
        <w:t>通过查阅预算资料，“三公”经费支出预算总计</w:t>
      </w:r>
      <w:bookmarkStart w:id="22" w:name="OLE_LINK1"/>
      <w:r>
        <w:rPr>
          <w:rFonts w:asciiTheme="majorEastAsia" w:eastAsiaTheme="majorEastAsia" w:hAnsiTheme="majorEastAsia" w:cstheme="majorEastAsia" w:hint="eastAsia"/>
          <w:bCs/>
          <w:color w:val="000000"/>
          <w:sz w:val="24"/>
          <w:szCs w:val="24"/>
        </w:rPr>
        <w:t>7.27</w:t>
      </w:r>
      <w:bookmarkEnd w:id="22"/>
      <w:r>
        <w:rPr>
          <w:rFonts w:asciiTheme="majorEastAsia" w:eastAsiaTheme="majorEastAsia" w:hAnsiTheme="majorEastAsia" w:cstheme="majorEastAsia" w:hint="eastAsia"/>
          <w:bCs/>
          <w:color w:val="000000"/>
          <w:sz w:val="24"/>
          <w:szCs w:val="24"/>
        </w:rPr>
        <w:t>万元，其中：公务用车运行维护费3.55万元，公务接待费1.82万元，因公出国1.9万元。实际支出4.35万元，其</w:t>
      </w:r>
      <w:r>
        <w:rPr>
          <w:rFonts w:asciiTheme="majorEastAsia" w:eastAsiaTheme="majorEastAsia" w:hAnsiTheme="majorEastAsia" w:cstheme="majorEastAsia" w:hint="eastAsia"/>
          <w:bCs/>
          <w:color w:val="000000"/>
          <w:sz w:val="24"/>
          <w:szCs w:val="24"/>
        </w:rPr>
        <w:lastRenderedPageBreak/>
        <w:t>中：公务用车运行维护费2.70万元，公务接待费1.64万元，因公出国0.00万元。</w:t>
      </w:r>
    </w:p>
    <w:p w:rsidR="000B4904" w:rsidRDefault="007F7784">
      <w:pPr>
        <w:adjustRightInd w:val="0"/>
        <w:snapToGrid w:val="0"/>
        <w:spacing w:line="360" w:lineRule="auto"/>
        <w:ind w:firstLineChars="200" w:firstLine="480"/>
        <w:rPr>
          <w:rFonts w:asciiTheme="majorEastAsia" w:eastAsiaTheme="majorEastAsia" w:hAnsiTheme="majorEastAsia" w:cstheme="majorEastAsia"/>
          <w:bCs/>
          <w:sz w:val="24"/>
          <w:szCs w:val="24"/>
        </w:rPr>
      </w:pPr>
      <w:bookmarkStart w:id="23" w:name="_Toc452655114"/>
      <w:r>
        <w:rPr>
          <w:rFonts w:asciiTheme="majorEastAsia" w:eastAsiaTheme="majorEastAsia" w:hAnsiTheme="majorEastAsia" w:cstheme="majorEastAsia" w:hint="eastAsia"/>
          <w:bCs/>
          <w:kern w:val="44"/>
          <w:sz w:val="24"/>
          <w:szCs w:val="24"/>
        </w:rPr>
        <w:t>3.1.5.1.5  重点支出</w:t>
      </w:r>
      <w:bookmarkEnd w:id="23"/>
    </w:p>
    <w:p w:rsidR="000B4904" w:rsidRDefault="007F7784">
      <w:pPr>
        <w:adjustRightInd w:val="0"/>
        <w:snapToGrid w:val="0"/>
        <w:spacing w:line="360" w:lineRule="auto"/>
        <w:ind w:firstLineChars="200" w:firstLine="480"/>
        <w:rPr>
          <w:rFonts w:asciiTheme="majorEastAsia" w:eastAsiaTheme="majorEastAsia" w:hAnsiTheme="majorEastAsia" w:cstheme="majorEastAsia"/>
          <w:bCs/>
          <w:sz w:val="24"/>
          <w:szCs w:val="24"/>
        </w:rPr>
      </w:pPr>
      <w:r>
        <w:rPr>
          <w:rFonts w:asciiTheme="majorEastAsia" w:eastAsiaTheme="majorEastAsia" w:hAnsiTheme="majorEastAsia" w:cstheme="majorEastAsia" w:hint="eastAsia"/>
          <w:bCs/>
          <w:sz w:val="24"/>
          <w:szCs w:val="24"/>
        </w:rPr>
        <w:t>通过查阅预算资料，部门年度预算安排重点项目2个，主要指</w:t>
      </w:r>
      <w:r>
        <w:rPr>
          <w:rFonts w:asciiTheme="majorEastAsia" w:eastAsiaTheme="majorEastAsia" w:hAnsiTheme="majorEastAsia" w:cstheme="majorEastAsia" w:hint="eastAsia"/>
          <w:sz w:val="24"/>
          <w:szCs w:val="24"/>
        </w:rPr>
        <w:t>第三次农业普查经费和统计专项经费等</w:t>
      </w:r>
      <w:r>
        <w:rPr>
          <w:rFonts w:asciiTheme="majorEastAsia" w:eastAsiaTheme="majorEastAsia" w:hAnsiTheme="majorEastAsia" w:cstheme="majorEastAsia" w:hint="eastAsia"/>
          <w:bCs/>
          <w:sz w:val="24"/>
          <w:szCs w:val="24"/>
        </w:rPr>
        <w:t>重点项目支出预算</w:t>
      </w:r>
      <w:r>
        <w:rPr>
          <w:rFonts w:asciiTheme="majorEastAsia" w:eastAsiaTheme="majorEastAsia" w:hAnsiTheme="majorEastAsia" w:cstheme="majorEastAsia" w:hint="eastAsia"/>
          <w:sz w:val="24"/>
          <w:szCs w:val="24"/>
        </w:rPr>
        <w:t>480.86</w:t>
      </w:r>
      <w:r>
        <w:rPr>
          <w:rFonts w:asciiTheme="majorEastAsia" w:eastAsiaTheme="majorEastAsia" w:hAnsiTheme="majorEastAsia" w:cstheme="majorEastAsia" w:hint="eastAsia"/>
          <w:bCs/>
          <w:sz w:val="24"/>
          <w:szCs w:val="24"/>
        </w:rPr>
        <w:t>万元，实际支出</w:t>
      </w:r>
      <w:r>
        <w:rPr>
          <w:rFonts w:asciiTheme="majorEastAsia" w:eastAsiaTheme="majorEastAsia" w:hAnsiTheme="majorEastAsia" w:cstheme="majorEastAsia" w:hint="eastAsia"/>
          <w:sz w:val="24"/>
          <w:szCs w:val="24"/>
        </w:rPr>
        <w:t>115.69</w:t>
      </w:r>
      <w:r>
        <w:rPr>
          <w:rFonts w:asciiTheme="majorEastAsia" w:eastAsiaTheme="majorEastAsia" w:hAnsiTheme="majorEastAsia" w:cstheme="majorEastAsia" w:hint="eastAsia"/>
          <w:bCs/>
          <w:sz w:val="24"/>
          <w:szCs w:val="24"/>
        </w:rPr>
        <w:t>万元。</w:t>
      </w:r>
    </w:p>
    <w:p w:rsidR="000B4904" w:rsidRDefault="007F7784">
      <w:pPr>
        <w:pStyle w:val="221"/>
        <w:adjustRightInd w:val="0"/>
        <w:snapToGrid w:val="0"/>
        <w:spacing w:line="360" w:lineRule="auto"/>
        <w:outlineLvl w:val="0"/>
        <w:rPr>
          <w:rFonts w:asciiTheme="majorEastAsia" w:eastAsiaTheme="majorEastAsia" w:hAnsiTheme="majorEastAsia" w:cstheme="majorEastAsia"/>
          <w:sz w:val="24"/>
          <w:szCs w:val="24"/>
        </w:rPr>
      </w:pPr>
      <w:bookmarkStart w:id="24" w:name="_Toc452659705"/>
      <w:r>
        <w:rPr>
          <w:rFonts w:asciiTheme="majorEastAsia" w:eastAsiaTheme="majorEastAsia" w:hAnsiTheme="majorEastAsia" w:cstheme="majorEastAsia" w:hint="eastAsia"/>
          <w:sz w:val="24"/>
          <w:szCs w:val="24"/>
        </w:rPr>
        <w:t>3.1.5.2  过程</w:t>
      </w:r>
      <w:bookmarkStart w:id="25" w:name="_Toc452655124"/>
      <w:bookmarkEnd w:id="24"/>
    </w:p>
    <w:p w:rsidR="000B4904" w:rsidRDefault="007F7784">
      <w:pPr>
        <w:adjustRightInd w:val="0"/>
        <w:snapToGrid w:val="0"/>
        <w:spacing w:line="360" w:lineRule="auto"/>
        <w:ind w:left="570"/>
        <w:rPr>
          <w:rFonts w:asciiTheme="majorEastAsia" w:eastAsiaTheme="majorEastAsia" w:hAnsiTheme="majorEastAsia" w:cstheme="majorEastAsia"/>
          <w:sz w:val="24"/>
          <w:szCs w:val="24"/>
        </w:rPr>
      </w:pPr>
      <w:bookmarkStart w:id="26" w:name="_Toc452659706"/>
      <w:bookmarkEnd w:id="25"/>
      <w:r>
        <w:rPr>
          <w:rFonts w:asciiTheme="majorEastAsia" w:eastAsiaTheme="majorEastAsia" w:hAnsiTheme="majorEastAsia" w:cstheme="majorEastAsia" w:hint="eastAsia"/>
          <w:sz w:val="24"/>
          <w:szCs w:val="24"/>
        </w:rPr>
        <w:t>3.1.5.2.1预算执行率</w:t>
      </w:r>
    </w:p>
    <w:p w:rsidR="000B4904" w:rsidRDefault="007F7784">
      <w:pPr>
        <w:adjustRightInd w:val="0"/>
        <w:snapToGrid w:val="0"/>
        <w:spacing w:line="360" w:lineRule="auto"/>
        <w:ind w:left="10"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通过查阅预决算资料，部门年度批复预算为831.06万元，年度预算调整后为704.24万元，实际执行为704.24万元,与年初批复预算支出比，预算执行率为85%。</w:t>
      </w:r>
    </w:p>
    <w:p w:rsidR="000B4904" w:rsidRDefault="007F7784">
      <w:pPr>
        <w:adjustRightInd w:val="0"/>
        <w:snapToGrid w:val="0"/>
        <w:spacing w:line="360" w:lineRule="auto"/>
        <w:ind w:left="57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3.1.5.2.2预算调整率</w:t>
      </w:r>
    </w:p>
    <w:p w:rsidR="000B4904" w:rsidRDefault="007F7784">
      <w:pPr>
        <w:adjustRightInd w:val="0"/>
        <w:snapToGrid w:val="0"/>
        <w:spacing w:line="360" w:lineRule="auto"/>
        <w:ind w:left="10" w:firstLineChars="233" w:firstLine="559"/>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部门年度预算为831.06万元，年度预算调整后为704.24万元，调整金额126.82万元，预算调整率15%。</w:t>
      </w:r>
    </w:p>
    <w:p w:rsidR="000B4904" w:rsidRDefault="007F7784">
      <w:pPr>
        <w:adjustRightInd w:val="0"/>
        <w:snapToGrid w:val="0"/>
        <w:spacing w:line="360" w:lineRule="auto"/>
        <w:ind w:left="57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3.1.5.2.3支付进度率</w:t>
      </w:r>
    </w:p>
    <w:p w:rsidR="000B4904" w:rsidRDefault="007F7784">
      <w:pPr>
        <w:adjustRightInd w:val="0"/>
        <w:snapToGrid w:val="0"/>
        <w:spacing w:line="360" w:lineRule="auto"/>
        <w:ind w:left="10" w:firstLineChars="233" w:firstLine="559"/>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通过查阅预决算资料，根据部门预决算支出执行情况表，全年决算704.24万元在当年支付611.36万元，支付进度率为87%。 </w:t>
      </w:r>
    </w:p>
    <w:p w:rsidR="000B4904" w:rsidRDefault="007F7784">
      <w:pPr>
        <w:adjustRightInd w:val="0"/>
        <w:snapToGrid w:val="0"/>
        <w:spacing w:line="360" w:lineRule="auto"/>
        <w:ind w:left="57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3.1.5.2.4结转结余率</w:t>
      </w:r>
    </w:p>
    <w:p w:rsidR="000B4904" w:rsidRDefault="007F7784">
      <w:pPr>
        <w:adjustRightInd w:val="0"/>
        <w:snapToGrid w:val="0"/>
        <w:spacing w:line="360" w:lineRule="auto"/>
        <w:ind w:left="-15" w:right="125" w:firstLine="55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通过查阅预决算资料，部门本年度结余结转金额92.87万元，全年支出决算总额704.24万元，结转结余率为13.19%。年度结转结余得到有效控制。</w:t>
      </w:r>
    </w:p>
    <w:p w:rsidR="000B4904" w:rsidRDefault="007F7784">
      <w:pPr>
        <w:adjustRightInd w:val="0"/>
        <w:snapToGrid w:val="0"/>
        <w:spacing w:line="360" w:lineRule="auto"/>
        <w:ind w:left="-15" w:right="125" w:firstLine="55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3.1.5.2.5结转结余变动率</w:t>
      </w:r>
    </w:p>
    <w:p w:rsidR="000B4904" w:rsidRDefault="007F7784">
      <w:pPr>
        <w:adjustRightInd w:val="0"/>
        <w:snapToGrid w:val="0"/>
        <w:spacing w:line="360" w:lineRule="auto"/>
        <w:ind w:left="-15" w:right="125" w:firstLine="55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通过查阅预决算资料，部门本年度结余结转资金总额92.87万元，上年度结余结转资金总额306.75万元，结转结余变动率-69%。</w:t>
      </w:r>
    </w:p>
    <w:p w:rsidR="000B4904" w:rsidRDefault="007F7784">
      <w:pPr>
        <w:adjustRightInd w:val="0"/>
        <w:snapToGrid w:val="0"/>
        <w:spacing w:line="360" w:lineRule="auto"/>
        <w:ind w:left="-15" w:right="125" w:firstLine="55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3.1.5.2.6公用经费控制率</w:t>
      </w:r>
    </w:p>
    <w:p w:rsidR="000B4904" w:rsidRDefault="007F7784">
      <w:pPr>
        <w:adjustRightInd w:val="0"/>
        <w:snapToGrid w:val="0"/>
        <w:spacing w:line="360" w:lineRule="auto"/>
        <w:ind w:left="-15" w:right="125" w:firstLine="55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通过查阅预决算资料，部门预算安排的公用</w:t>
      </w:r>
      <w:r>
        <w:rPr>
          <w:rFonts w:asciiTheme="majorEastAsia" w:eastAsiaTheme="majorEastAsia" w:hAnsiTheme="majorEastAsia" w:cstheme="majorEastAsia" w:hint="eastAsia"/>
          <w:color w:val="000000"/>
          <w:sz w:val="24"/>
          <w:szCs w:val="24"/>
        </w:rPr>
        <w:t>经费总额为266.9万元，实际支出的公用经费总额为61.37万元，公用经费控制率23%。</w:t>
      </w:r>
      <w:r>
        <w:rPr>
          <w:rFonts w:asciiTheme="majorEastAsia" w:eastAsiaTheme="majorEastAsia" w:hAnsiTheme="majorEastAsia" w:cstheme="majorEastAsia" w:hint="eastAsia"/>
          <w:sz w:val="24"/>
          <w:szCs w:val="24"/>
        </w:rPr>
        <w:t>公用经费得到有效控制。</w:t>
      </w:r>
    </w:p>
    <w:p w:rsidR="000B4904" w:rsidRDefault="007F7784">
      <w:pPr>
        <w:adjustRightInd w:val="0"/>
        <w:snapToGrid w:val="0"/>
        <w:spacing w:line="360" w:lineRule="auto"/>
        <w:ind w:left="-15" w:right="125" w:firstLine="55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3.1.5.2.7“三公经费”控制率</w:t>
      </w:r>
    </w:p>
    <w:p w:rsidR="000B4904" w:rsidRDefault="007F7784">
      <w:pPr>
        <w:adjustRightInd w:val="0"/>
        <w:snapToGrid w:val="0"/>
        <w:spacing w:line="360" w:lineRule="auto"/>
        <w:ind w:left="-17" w:firstLine="561"/>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通过查阅预决算资料，部门“三公经费”实际支出数为4.35万元，“三公经费”预算数为7.27万元，控制率为60%，对“三公经费”进行了有效的控制和压缩。这是认真贯彻落实中央八项规定要求，厉行节约、严格控制支出的结果。实施公务用车制度改革，加强公务用车管理，规范公务接待活动，使得“三公”经费单项支出均有所下降。具体如下表：三</w:t>
      </w:r>
      <w:proofErr w:type="gramStart"/>
      <w:r>
        <w:rPr>
          <w:rFonts w:asciiTheme="majorEastAsia" w:eastAsiaTheme="majorEastAsia" w:hAnsiTheme="majorEastAsia" w:cstheme="majorEastAsia" w:hint="eastAsia"/>
          <w:sz w:val="24"/>
          <w:szCs w:val="24"/>
        </w:rPr>
        <w:t>公经费</w:t>
      </w:r>
      <w:proofErr w:type="gramEnd"/>
      <w:r>
        <w:rPr>
          <w:rFonts w:asciiTheme="majorEastAsia" w:eastAsiaTheme="majorEastAsia" w:hAnsiTheme="majorEastAsia" w:cstheme="majorEastAsia" w:hint="eastAsia"/>
          <w:sz w:val="24"/>
          <w:szCs w:val="24"/>
        </w:rPr>
        <w:t>执行情况表</w:t>
      </w:r>
    </w:p>
    <w:tbl>
      <w:tblPr>
        <w:tblStyle w:val="TableGrid"/>
        <w:tblW w:w="8967" w:type="dxa"/>
        <w:tblInd w:w="189" w:type="dxa"/>
        <w:tblLayout w:type="fixed"/>
        <w:tblCellMar>
          <w:top w:w="35" w:type="dxa"/>
          <w:left w:w="115" w:type="dxa"/>
          <w:right w:w="3" w:type="dxa"/>
        </w:tblCellMar>
        <w:tblLook w:val="04A0"/>
      </w:tblPr>
      <w:tblGrid>
        <w:gridCol w:w="3073"/>
        <w:gridCol w:w="2760"/>
        <w:gridCol w:w="3134"/>
      </w:tblGrid>
      <w:tr w:rsidR="000B4904">
        <w:trPr>
          <w:trHeight w:val="407"/>
        </w:trPr>
        <w:tc>
          <w:tcPr>
            <w:tcW w:w="3073" w:type="dxa"/>
            <w:tcBorders>
              <w:top w:val="single" w:sz="4" w:space="0" w:color="000000"/>
              <w:left w:val="single" w:sz="4" w:space="0" w:color="000000"/>
              <w:bottom w:val="single" w:sz="4" w:space="0" w:color="000000"/>
              <w:right w:val="single" w:sz="4" w:space="0" w:color="000000"/>
            </w:tcBorders>
          </w:tcPr>
          <w:p w:rsidR="000B4904" w:rsidRDefault="007F7784">
            <w:pPr>
              <w:adjustRightInd w:val="0"/>
              <w:snapToGrid w:val="0"/>
              <w:spacing w:line="360" w:lineRule="auto"/>
              <w:ind w:left="-17" w:firstLine="561"/>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项 目</w:t>
            </w:r>
          </w:p>
        </w:tc>
        <w:tc>
          <w:tcPr>
            <w:tcW w:w="2760" w:type="dxa"/>
            <w:tcBorders>
              <w:top w:val="single" w:sz="4" w:space="0" w:color="000000"/>
              <w:left w:val="single" w:sz="4" w:space="0" w:color="000000"/>
              <w:bottom w:val="single" w:sz="4" w:space="0" w:color="000000"/>
              <w:right w:val="single" w:sz="4" w:space="0" w:color="000000"/>
            </w:tcBorders>
          </w:tcPr>
          <w:p w:rsidR="000B4904" w:rsidRDefault="007F7784">
            <w:pPr>
              <w:adjustRightInd w:val="0"/>
              <w:snapToGrid w:val="0"/>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预算数（万元）</w:t>
            </w:r>
          </w:p>
        </w:tc>
        <w:tc>
          <w:tcPr>
            <w:tcW w:w="3134" w:type="dxa"/>
            <w:tcBorders>
              <w:top w:val="single" w:sz="4" w:space="0" w:color="000000"/>
              <w:left w:val="single" w:sz="4" w:space="0" w:color="000000"/>
              <w:bottom w:val="single" w:sz="4" w:space="0" w:color="000000"/>
              <w:right w:val="single" w:sz="4" w:space="0" w:color="000000"/>
            </w:tcBorders>
          </w:tcPr>
          <w:p w:rsidR="000B4904" w:rsidRDefault="007F7784">
            <w:pPr>
              <w:adjustRightInd w:val="0"/>
              <w:snapToGrid w:val="0"/>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决算数（万元）</w:t>
            </w:r>
          </w:p>
        </w:tc>
      </w:tr>
      <w:tr w:rsidR="000B4904">
        <w:trPr>
          <w:trHeight w:val="407"/>
        </w:trPr>
        <w:tc>
          <w:tcPr>
            <w:tcW w:w="3073" w:type="dxa"/>
            <w:tcBorders>
              <w:top w:val="single" w:sz="4" w:space="0" w:color="000000"/>
              <w:left w:val="single" w:sz="4" w:space="0" w:color="000000"/>
              <w:bottom w:val="single" w:sz="4" w:space="0" w:color="000000"/>
              <w:right w:val="single" w:sz="4" w:space="0" w:color="000000"/>
            </w:tcBorders>
          </w:tcPr>
          <w:p w:rsidR="000B4904" w:rsidRDefault="007F7784">
            <w:pPr>
              <w:adjustRightInd w:val="0"/>
              <w:snapToGrid w:val="0"/>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lastRenderedPageBreak/>
              <w:t>因公出国（境）费用</w:t>
            </w:r>
          </w:p>
        </w:tc>
        <w:tc>
          <w:tcPr>
            <w:tcW w:w="2760" w:type="dxa"/>
            <w:tcBorders>
              <w:top w:val="single" w:sz="4" w:space="0" w:color="000000"/>
              <w:left w:val="single" w:sz="4" w:space="0" w:color="000000"/>
              <w:bottom w:val="single" w:sz="4" w:space="0" w:color="000000"/>
              <w:right w:val="single" w:sz="4" w:space="0" w:color="000000"/>
            </w:tcBorders>
          </w:tcPr>
          <w:p w:rsidR="000B4904" w:rsidRDefault="007F7784">
            <w:pPr>
              <w:adjustRightInd w:val="0"/>
              <w:snapToGrid w:val="0"/>
              <w:spacing w:line="360" w:lineRule="auto"/>
              <w:ind w:left="-17" w:firstLine="561"/>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1.9</w:t>
            </w:r>
          </w:p>
        </w:tc>
        <w:tc>
          <w:tcPr>
            <w:tcW w:w="3134" w:type="dxa"/>
            <w:tcBorders>
              <w:top w:val="single" w:sz="4" w:space="0" w:color="000000"/>
              <w:left w:val="single" w:sz="4" w:space="0" w:color="000000"/>
              <w:bottom w:val="single" w:sz="4" w:space="0" w:color="000000"/>
              <w:right w:val="single" w:sz="4" w:space="0" w:color="000000"/>
            </w:tcBorders>
          </w:tcPr>
          <w:p w:rsidR="000B4904" w:rsidRDefault="007F7784">
            <w:pPr>
              <w:adjustRightInd w:val="0"/>
              <w:snapToGrid w:val="0"/>
              <w:spacing w:line="360" w:lineRule="auto"/>
              <w:ind w:left="-17" w:firstLine="561"/>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0.00</w:t>
            </w:r>
          </w:p>
        </w:tc>
      </w:tr>
      <w:tr w:rsidR="000B4904">
        <w:trPr>
          <w:trHeight w:val="407"/>
        </w:trPr>
        <w:tc>
          <w:tcPr>
            <w:tcW w:w="3073" w:type="dxa"/>
            <w:tcBorders>
              <w:top w:val="single" w:sz="4" w:space="0" w:color="000000"/>
              <w:left w:val="single" w:sz="4" w:space="0" w:color="000000"/>
              <w:bottom w:val="single" w:sz="4" w:space="0" w:color="000000"/>
              <w:right w:val="single" w:sz="4" w:space="0" w:color="000000"/>
            </w:tcBorders>
          </w:tcPr>
          <w:p w:rsidR="000B4904" w:rsidRDefault="007F7784">
            <w:pPr>
              <w:adjustRightInd w:val="0"/>
              <w:snapToGrid w:val="0"/>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公务用车运行维护费</w:t>
            </w:r>
          </w:p>
        </w:tc>
        <w:tc>
          <w:tcPr>
            <w:tcW w:w="2760" w:type="dxa"/>
            <w:tcBorders>
              <w:top w:val="single" w:sz="4" w:space="0" w:color="000000"/>
              <w:left w:val="single" w:sz="4" w:space="0" w:color="000000"/>
              <w:bottom w:val="single" w:sz="4" w:space="0" w:color="000000"/>
              <w:right w:val="single" w:sz="4" w:space="0" w:color="000000"/>
            </w:tcBorders>
          </w:tcPr>
          <w:p w:rsidR="000B4904" w:rsidRDefault="007F7784">
            <w:pPr>
              <w:adjustRightInd w:val="0"/>
              <w:snapToGrid w:val="0"/>
              <w:spacing w:line="360" w:lineRule="auto"/>
              <w:ind w:left="-17" w:firstLine="561"/>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3.55</w:t>
            </w:r>
          </w:p>
        </w:tc>
        <w:tc>
          <w:tcPr>
            <w:tcW w:w="3134" w:type="dxa"/>
            <w:tcBorders>
              <w:top w:val="single" w:sz="4" w:space="0" w:color="000000"/>
              <w:left w:val="single" w:sz="4" w:space="0" w:color="000000"/>
              <w:bottom w:val="single" w:sz="4" w:space="0" w:color="000000"/>
              <w:right w:val="single" w:sz="4" w:space="0" w:color="000000"/>
            </w:tcBorders>
          </w:tcPr>
          <w:p w:rsidR="000B4904" w:rsidRDefault="007F7784">
            <w:pPr>
              <w:adjustRightInd w:val="0"/>
              <w:snapToGrid w:val="0"/>
              <w:spacing w:line="360" w:lineRule="auto"/>
              <w:ind w:left="-17" w:firstLine="561"/>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2.70</w:t>
            </w:r>
          </w:p>
        </w:tc>
      </w:tr>
      <w:tr w:rsidR="000B4904">
        <w:trPr>
          <w:trHeight w:val="407"/>
        </w:trPr>
        <w:tc>
          <w:tcPr>
            <w:tcW w:w="3073" w:type="dxa"/>
            <w:tcBorders>
              <w:top w:val="single" w:sz="4" w:space="0" w:color="000000"/>
              <w:left w:val="single" w:sz="4" w:space="0" w:color="000000"/>
              <w:bottom w:val="single" w:sz="4" w:space="0" w:color="000000"/>
              <w:right w:val="single" w:sz="6" w:space="0" w:color="000000"/>
            </w:tcBorders>
          </w:tcPr>
          <w:p w:rsidR="000B4904" w:rsidRDefault="007F7784">
            <w:pPr>
              <w:adjustRightInd w:val="0"/>
              <w:snapToGrid w:val="0"/>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公务接待费</w:t>
            </w:r>
          </w:p>
        </w:tc>
        <w:tc>
          <w:tcPr>
            <w:tcW w:w="2760" w:type="dxa"/>
            <w:tcBorders>
              <w:top w:val="single" w:sz="4" w:space="0" w:color="000000"/>
              <w:left w:val="single" w:sz="6" w:space="0" w:color="000000"/>
              <w:bottom w:val="single" w:sz="4" w:space="0" w:color="000000"/>
              <w:right w:val="single" w:sz="6" w:space="0" w:color="000000"/>
            </w:tcBorders>
          </w:tcPr>
          <w:p w:rsidR="000B4904" w:rsidRDefault="007F7784">
            <w:pPr>
              <w:adjustRightInd w:val="0"/>
              <w:snapToGrid w:val="0"/>
              <w:spacing w:line="360" w:lineRule="auto"/>
              <w:ind w:left="-17" w:firstLine="561"/>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1.82</w:t>
            </w:r>
          </w:p>
        </w:tc>
        <w:tc>
          <w:tcPr>
            <w:tcW w:w="3134" w:type="dxa"/>
            <w:tcBorders>
              <w:top w:val="single" w:sz="4" w:space="0" w:color="000000"/>
              <w:left w:val="single" w:sz="6" w:space="0" w:color="000000"/>
              <w:bottom w:val="single" w:sz="4" w:space="0" w:color="000000"/>
              <w:right w:val="single" w:sz="4" w:space="0" w:color="000000"/>
            </w:tcBorders>
          </w:tcPr>
          <w:p w:rsidR="000B4904" w:rsidRDefault="007F7784">
            <w:pPr>
              <w:adjustRightInd w:val="0"/>
              <w:snapToGrid w:val="0"/>
              <w:spacing w:line="360" w:lineRule="auto"/>
              <w:ind w:left="-17" w:firstLine="561"/>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1.64</w:t>
            </w:r>
          </w:p>
        </w:tc>
      </w:tr>
      <w:tr w:rsidR="000B4904">
        <w:trPr>
          <w:trHeight w:val="407"/>
        </w:trPr>
        <w:tc>
          <w:tcPr>
            <w:tcW w:w="3073" w:type="dxa"/>
            <w:tcBorders>
              <w:top w:val="single" w:sz="4" w:space="0" w:color="000000"/>
              <w:left w:val="single" w:sz="4" w:space="0" w:color="000000"/>
              <w:bottom w:val="single" w:sz="4" w:space="0" w:color="000000"/>
              <w:right w:val="single" w:sz="4" w:space="0" w:color="000000"/>
            </w:tcBorders>
          </w:tcPr>
          <w:p w:rsidR="000B4904" w:rsidRDefault="007F7784">
            <w:pPr>
              <w:adjustRightInd w:val="0"/>
              <w:snapToGrid w:val="0"/>
              <w:spacing w:line="360" w:lineRule="auto"/>
              <w:ind w:left="-17" w:firstLine="561"/>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合 计</w:t>
            </w:r>
          </w:p>
        </w:tc>
        <w:tc>
          <w:tcPr>
            <w:tcW w:w="2760" w:type="dxa"/>
            <w:tcBorders>
              <w:top w:val="single" w:sz="4" w:space="0" w:color="000000"/>
              <w:left w:val="single" w:sz="4" w:space="0" w:color="000000"/>
              <w:bottom w:val="single" w:sz="4" w:space="0" w:color="000000"/>
              <w:right w:val="single" w:sz="4" w:space="0" w:color="000000"/>
            </w:tcBorders>
          </w:tcPr>
          <w:p w:rsidR="000B4904" w:rsidRDefault="007F7784">
            <w:pPr>
              <w:adjustRightInd w:val="0"/>
              <w:snapToGrid w:val="0"/>
              <w:spacing w:line="360" w:lineRule="auto"/>
              <w:ind w:left="-17" w:firstLine="561"/>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7.27</w:t>
            </w:r>
          </w:p>
        </w:tc>
        <w:tc>
          <w:tcPr>
            <w:tcW w:w="3134" w:type="dxa"/>
            <w:tcBorders>
              <w:top w:val="single" w:sz="4" w:space="0" w:color="000000"/>
              <w:left w:val="single" w:sz="4" w:space="0" w:color="000000"/>
              <w:bottom w:val="single" w:sz="4" w:space="0" w:color="000000"/>
              <w:right w:val="single" w:sz="4" w:space="0" w:color="000000"/>
            </w:tcBorders>
          </w:tcPr>
          <w:p w:rsidR="000B4904" w:rsidRDefault="007F7784">
            <w:pPr>
              <w:adjustRightInd w:val="0"/>
              <w:snapToGrid w:val="0"/>
              <w:spacing w:line="360" w:lineRule="auto"/>
              <w:ind w:left="-17" w:firstLine="561"/>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4.34</w:t>
            </w:r>
          </w:p>
        </w:tc>
      </w:tr>
    </w:tbl>
    <w:p w:rsidR="000B4904" w:rsidRDefault="007F7784">
      <w:pPr>
        <w:adjustRightInd w:val="0"/>
        <w:snapToGrid w:val="0"/>
        <w:spacing w:line="360" w:lineRule="auto"/>
        <w:ind w:left="-15" w:right="125" w:firstLine="55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3.1.5.2.8政府采购执行率</w:t>
      </w:r>
    </w:p>
    <w:p w:rsidR="000B4904" w:rsidRDefault="007F7784">
      <w:pPr>
        <w:adjustRightInd w:val="0"/>
        <w:snapToGrid w:val="0"/>
        <w:spacing w:line="360" w:lineRule="auto"/>
        <w:ind w:left="-15" w:right="125" w:firstLine="55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通过查阅预决算资料，本年度部门政府采购执行率为100%。</w:t>
      </w:r>
    </w:p>
    <w:p w:rsidR="000B4904" w:rsidRDefault="007F7784">
      <w:pPr>
        <w:adjustRightInd w:val="0"/>
        <w:snapToGrid w:val="0"/>
        <w:spacing w:line="360" w:lineRule="auto"/>
        <w:ind w:left="-15" w:right="125" w:firstLine="55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3.1.5.2.9资金使用合</w:t>
      </w:r>
      <w:proofErr w:type="gramStart"/>
      <w:r>
        <w:rPr>
          <w:rFonts w:asciiTheme="majorEastAsia" w:eastAsiaTheme="majorEastAsia" w:hAnsiTheme="majorEastAsia" w:cstheme="majorEastAsia" w:hint="eastAsia"/>
          <w:sz w:val="24"/>
          <w:szCs w:val="24"/>
        </w:rPr>
        <w:t>规</w:t>
      </w:r>
      <w:proofErr w:type="gramEnd"/>
      <w:r>
        <w:rPr>
          <w:rFonts w:asciiTheme="majorEastAsia" w:eastAsiaTheme="majorEastAsia" w:hAnsiTheme="majorEastAsia" w:cstheme="majorEastAsia" w:hint="eastAsia"/>
          <w:sz w:val="24"/>
          <w:szCs w:val="24"/>
        </w:rPr>
        <w:t>性我们认为，项目实施符合财务管理制度规定。</w:t>
      </w:r>
    </w:p>
    <w:p w:rsidR="000B4904" w:rsidRDefault="007F7784">
      <w:pPr>
        <w:adjustRightInd w:val="0"/>
        <w:snapToGrid w:val="0"/>
        <w:spacing w:line="360" w:lineRule="auto"/>
        <w:ind w:left="-15" w:right="125" w:firstLine="55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严格执行项目公示制，确保机关正常运转，保重点工作投入的指导思想和“量入为出，收支平衡”的原则，在规范管理、严格制度上下工夫，严格执行国库集中支付、公务卡消费、差旅费、会议费和政府采购等制度。同时，严格贯彻执行中央“八项规定”，尽力压缩一般性支出，严格控制“三公经费”。同时要求财务和资产管理人员要做到政治上清醒坚定、业务上内行精明、作风上廉洁自律、工作中团结协作，努力打造一只高素质的财务干部队伍。经检查相关收支凭证、资金发放台账和面访等检查，有完整的审批程序，符合项目预算批复的用途。我们认为，资金分配是符合相关管理办法；分配结果合理，分配结果客观、公开、公平、公正。</w:t>
      </w:r>
    </w:p>
    <w:p w:rsidR="000B4904" w:rsidRDefault="007F7784">
      <w:pPr>
        <w:adjustRightInd w:val="0"/>
        <w:snapToGrid w:val="0"/>
        <w:spacing w:line="360" w:lineRule="auto"/>
        <w:ind w:left="-15" w:right="125" w:firstLine="55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3.1.5.2.10预决算信息公开性</w:t>
      </w:r>
    </w:p>
    <w:p w:rsidR="000B4904" w:rsidRDefault="007F7784">
      <w:pPr>
        <w:adjustRightInd w:val="0"/>
        <w:snapToGrid w:val="0"/>
        <w:spacing w:line="360" w:lineRule="auto"/>
        <w:ind w:left="-15" w:right="125" w:firstLine="55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按照预决算信息公开要求，2017年预算在门户网站公告专栏栏目上公开，并对预算的收入情况、项目支出明细情况都作了相应的说明。</w:t>
      </w:r>
    </w:p>
    <w:p w:rsidR="000B4904" w:rsidRDefault="007F7784">
      <w:pPr>
        <w:adjustRightInd w:val="0"/>
        <w:snapToGrid w:val="0"/>
        <w:spacing w:line="360" w:lineRule="auto"/>
        <w:ind w:left="-15" w:right="125" w:firstLine="55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3.1.5.2.11资产管理安全性</w:t>
      </w:r>
    </w:p>
    <w:p w:rsidR="000B4904" w:rsidRDefault="007F7784">
      <w:pPr>
        <w:adjustRightInd w:val="0"/>
        <w:snapToGrid w:val="0"/>
        <w:spacing w:line="360" w:lineRule="auto"/>
        <w:ind w:left="-15" w:firstLine="56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年末固定资产总额为164.69万元，主要包括专用设备、电脑、办公</w:t>
      </w:r>
      <w:proofErr w:type="gramStart"/>
      <w:r>
        <w:rPr>
          <w:rFonts w:asciiTheme="majorEastAsia" w:eastAsiaTheme="majorEastAsia" w:hAnsiTheme="majorEastAsia" w:cstheme="majorEastAsia" w:hint="eastAsia"/>
          <w:sz w:val="24"/>
          <w:szCs w:val="24"/>
        </w:rPr>
        <w:t>家俱</w:t>
      </w:r>
      <w:proofErr w:type="gramEnd"/>
      <w:r>
        <w:rPr>
          <w:rFonts w:asciiTheme="majorEastAsia" w:eastAsiaTheme="majorEastAsia" w:hAnsiTheme="majorEastAsia" w:cstheme="majorEastAsia" w:hint="eastAsia"/>
          <w:sz w:val="24"/>
          <w:szCs w:val="24"/>
        </w:rPr>
        <w:t>用品等。根据国家有关规定，结合单位实际情况，制定出台了固定资产管理制度，对固定资产的采购、保管、使用、维护、清查盘点、处置等做出详细规定。根据制度，购买固定资产涉及政府采购，均严格实施政府采购，并严格验收；指定专人管理固定资产，正确使用，做好维护维修工作，年底对固定资产进行盘点，并与财务核对，做到账实相符；对固定资产的处置，严格</w:t>
      </w:r>
      <w:proofErr w:type="gramStart"/>
      <w:r>
        <w:rPr>
          <w:rFonts w:asciiTheme="majorEastAsia" w:eastAsiaTheme="majorEastAsia" w:hAnsiTheme="majorEastAsia" w:cstheme="majorEastAsia" w:hint="eastAsia"/>
          <w:sz w:val="24"/>
          <w:szCs w:val="24"/>
        </w:rPr>
        <w:t>走财政</w:t>
      </w:r>
      <w:proofErr w:type="gramEnd"/>
      <w:r>
        <w:rPr>
          <w:rFonts w:asciiTheme="majorEastAsia" w:eastAsiaTheme="majorEastAsia" w:hAnsiTheme="majorEastAsia" w:cstheme="majorEastAsia" w:hint="eastAsia"/>
          <w:sz w:val="24"/>
          <w:szCs w:val="24"/>
        </w:rPr>
        <w:t>规定的固定资产报废或处置程序。资产运行具有较高的安全性。</w:t>
      </w:r>
    </w:p>
    <w:p w:rsidR="000B4904" w:rsidRDefault="007F7784">
      <w:pPr>
        <w:adjustRightInd w:val="0"/>
        <w:snapToGrid w:val="0"/>
        <w:spacing w:line="360" w:lineRule="auto"/>
        <w:ind w:left="57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3.1.5.2.12固定资产利用率</w:t>
      </w:r>
    </w:p>
    <w:p w:rsidR="000B4904" w:rsidRDefault="007F7784">
      <w:pPr>
        <w:adjustRightInd w:val="0"/>
        <w:snapToGrid w:val="0"/>
        <w:spacing w:line="360" w:lineRule="auto"/>
        <w:ind w:left="-15" w:firstLine="56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2017年末实际在用固定资产总额为164.69万元，部门所有固定资产总额为164.69万元，固定资产利用率100%。</w:t>
      </w:r>
    </w:p>
    <w:p w:rsidR="000B4904" w:rsidRDefault="007F7784">
      <w:pPr>
        <w:widowControl/>
        <w:shd w:val="clear" w:color="auto" w:fill="FFFFFF"/>
        <w:wordWrap w:val="0"/>
        <w:adjustRightInd w:val="0"/>
        <w:snapToGrid w:val="0"/>
        <w:spacing w:line="360" w:lineRule="auto"/>
        <w:ind w:firstLine="560"/>
        <w:jc w:val="left"/>
        <w:rPr>
          <w:rFonts w:asciiTheme="majorEastAsia" w:eastAsiaTheme="majorEastAsia" w:hAnsiTheme="majorEastAsia" w:cstheme="majorEastAsia"/>
          <w:b/>
          <w:bCs/>
          <w:sz w:val="24"/>
          <w:szCs w:val="24"/>
        </w:rPr>
      </w:pPr>
      <w:r>
        <w:rPr>
          <w:rFonts w:asciiTheme="majorEastAsia" w:eastAsiaTheme="majorEastAsia" w:hAnsiTheme="majorEastAsia" w:cstheme="majorEastAsia" w:hint="eastAsia"/>
          <w:b/>
          <w:bCs/>
          <w:sz w:val="24"/>
          <w:szCs w:val="24"/>
        </w:rPr>
        <w:t>3.1.5.3  产出</w:t>
      </w:r>
      <w:bookmarkStart w:id="27" w:name="_GoBack"/>
      <w:bookmarkEnd w:id="26"/>
      <w:bookmarkEnd w:id="27"/>
    </w:p>
    <w:p w:rsidR="000B4904" w:rsidRPr="00BE3D0D" w:rsidRDefault="007F7784">
      <w:pPr>
        <w:adjustRightInd w:val="0"/>
        <w:snapToGrid w:val="0"/>
        <w:spacing w:line="360" w:lineRule="auto"/>
        <w:ind w:left="-15" w:firstLine="560"/>
        <w:rPr>
          <w:rFonts w:asciiTheme="majorEastAsia" w:eastAsiaTheme="majorEastAsia" w:hAnsiTheme="majorEastAsia" w:cstheme="majorEastAsia"/>
          <w:color w:val="000000" w:themeColor="text1"/>
          <w:sz w:val="24"/>
          <w:szCs w:val="24"/>
        </w:rPr>
      </w:pPr>
      <w:r w:rsidRPr="00BE3D0D">
        <w:rPr>
          <w:rFonts w:asciiTheme="majorEastAsia" w:eastAsiaTheme="majorEastAsia" w:hAnsiTheme="majorEastAsia" w:cstheme="majorEastAsia" w:hint="eastAsia"/>
          <w:color w:val="000000" w:themeColor="text1"/>
          <w:sz w:val="24"/>
          <w:szCs w:val="24"/>
        </w:rPr>
        <w:t>2017年，</w:t>
      </w:r>
      <w:r w:rsidR="00C9093A">
        <w:rPr>
          <w:rFonts w:asciiTheme="majorEastAsia" w:eastAsiaTheme="majorEastAsia" w:hAnsiTheme="majorEastAsia" w:cstheme="majorEastAsia" w:hint="eastAsia"/>
          <w:color w:val="000000" w:themeColor="text1"/>
          <w:sz w:val="24"/>
          <w:szCs w:val="24"/>
        </w:rPr>
        <w:t>随州市统计局</w:t>
      </w:r>
      <w:r w:rsidRPr="00BE3D0D">
        <w:rPr>
          <w:rFonts w:asciiTheme="majorEastAsia" w:eastAsiaTheme="majorEastAsia" w:hAnsiTheme="majorEastAsia" w:cstheme="majorEastAsia" w:hint="eastAsia"/>
          <w:color w:val="000000" w:themeColor="text1"/>
          <w:sz w:val="24"/>
          <w:szCs w:val="24"/>
        </w:rPr>
        <w:t>在市委市政府的坚强领导下，深刻领悟四个全面战略布局，</w:t>
      </w:r>
      <w:r w:rsidRPr="00BE3D0D">
        <w:rPr>
          <w:rFonts w:asciiTheme="majorEastAsia" w:eastAsiaTheme="majorEastAsia" w:hAnsiTheme="majorEastAsia" w:cstheme="majorEastAsia" w:hint="eastAsia"/>
          <w:color w:val="000000" w:themeColor="text1"/>
          <w:sz w:val="24"/>
          <w:szCs w:val="24"/>
        </w:rPr>
        <w:lastRenderedPageBreak/>
        <w:t>全面履职</w:t>
      </w:r>
      <w:proofErr w:type="gramStart"/>
      <w:r w:rsidRPr="00BE3D0D">
        <w:rPr>
          <w:rFonts w:asciiTheme="majorEastAsia" w:eastAsiaTheme="majorEastAsia" w:hAnsiTheme="majorEastAsia" w:cstheme="majorEastAsia" w:hint="eastAsia"/>
          <w:color w:val="000000" w:themeColor="text1"/>
          <w:sz w:val="24"/>
          <w:szCs w:val="24"/>
        </w:rPr>
        <w:t>尽责担</w:t>
      </w:r>
      <w:proofErr w:type="gramEnd"/>
      <w:r w:rsidRPr="00BE3D0D">
        <w:rPr>
          <w:rFonts w:asciiTheme="majorEastAsia" w:eastAsiaTheme="majorEastAsia" w:hAnsiTheme="majorEastAsia" w:cstheme="majorEastAsia" w:hint="eastAsia"/>
          <w:color w:val="000000" w:themeColor="text1"/>
          <w:sz w:val="24"/>
          <w:szCs w:val="24"/>
        </w:rPr>
        <w:t>重任，全面完成了</w:t>
      </w:r>
      <w:r w:rsidR="00BE3D0D">
        <w:rPr>
          <w:rFonts w:asciiTheme="majorEastAsia" w:eastAsiaTheme="majorEastAsia" w:hAnsiTheme="majorEastAsia" w:cstheme="majorEastAsia" w:hint="eastAsia"/>
          <w:color w:val="000000" w:themeColor="text1"/>
          <w:sz w:val="24"/>
          <w:szCs w:val="24"/>
        </w:rPr>
        <w:t>统计</w:t>
      </w:r>
      <w:r w:rsidRPr="00BE3D0D">
        <w:rPr>
          <w:rFonts w:asciiTheme="majorEastAsia" w:eastAsiaTheme="majorEastAsia" w:hAnsiTheme="majorEastAsia" w:cstheme="majorEastAsia" w:hint="eastAsia"/>
          <w:color w:val="000000" w:themeColor="text1"/>
          <w:sz w:val="24"/>
          <w:szCs w:val="24"/>
        </w:rPr>
        <w:t>各项工作。</w:t>
      </w:r>
    </w:p>
    <w:p w:rsidR="000B4904" w:rsidRDefault="007F7784">
      <w:pPr>
        <w:pStyle w:val="221"/>
        <w:adjustRightInd w:val="0"/>
        <w:snapToGrid w:val="0"/>
        <w:spacing w:line="360" w:lineRule="auto"/>
        <w:ind w:firstLine="480"/>
        <w:outlineLvl w:val="0"/>
        <w:rPr>
          <w:rFonts w:asciiTheme="majorEastAsia" w:eastAsiaTheme="majorEastAsia" w:hAnsiTheme="majorEastAsia" w:cstheme="majorEastAsia"/>
          <w:b w:val="0"/>
          <w:bCs w:val="0"/>
          <w:kern w:val="2"/>
          <w:sz w:val="24"/>
          <w:szCs w:val="24"/>
        </w:rPr>
      </w:pPr>
      <w:bookmarkStart w:id="28" w:name="_Toc452659707"/>
      <w:r>
        <w:rPr>
          <w:rFonts w:asciiTheme="majorEastAsia" w:eastAsiaTheme="majorEastAsia" w:hAnsiTheme="majorEastAsia" w:cstheme="majorEastAsia" w:hint="eastAsia"/>
          <w:b w:val="0"/>
          <w:bCs w:val="0"/>
          <w:kern w:val="2"/>
          <w:sz w:val="24"/>
          <w:szCs w:val="24"/>
        </w:rPr>
        <w:t>3.1.5.3.1.</w:t>
      </w:r>
      <w:r w:rsidR="00BE3D0D" w:rsidRPr="00BE3D0D">
        <w:rPr>
          <w:rFonts w:hint="eastAsia"/>
        </w:rPr>
        <w:t xml:space="preserve"> </w:t>
      </w:r>
      <w:r w:rsidR="00BE3D0D" w:rsidRPr="00BE3D0D">
        <w:rPr>
          <w:rFonts w:asciiTheme="majorEastAsia" w:eastAsiaTheme="majorEastAsia" w:hAnsiTheme="majorEastAsia" w:cstheme="majorEastAsia" w:hint="eastAsia"/>
          <w:b w:val="0"/>
          <w:bCs w:val="0"/>
          <w:kern w:val="2"/>
          <w:sz w:val="24"/>
          <w:szCs w:val="24"/>
        </w:rPr>
        <w:t>重新修订完善了《全市统计诚信企业创建活动实施方案》，建立我市企业统计信用制度；建立了全市统计人员信用档案；研究制定了我市《关于加强统计领域信用建设的若干规定》；制定了《统计执法“双随机”抽查细则》；建立完善《统计执法人员数据库》和《统计执法对象数据库》；制定了《统计执法检查规范》；制定了我市《关于建立违规干预统计工作记录制度的办法》，并在全市统计系统内严格贯彻落实；修订完善我市《统计举报制度》</w:t>
      </w:r>
      <w:r>
        <w:rPr>
          <w:rFonts w:asciiTheme="majorEastAsia" w:eastAsiaTheme="majorEastAsia" w:hAnsiTheme="majorEastAsia" w:cstheme="majorEastAsia" w:hint="eastAsia"/>
          <w:b w:val="0"/>
          <w:bCs w:val="0"/>
          <w:kern w:val="2"/>
          <w:sz w:val="24"/>
          <w:szCs w:val="24"/>
        </w:rPr>
        <w:t>。</w:t>
      </w:r>
    </w:p>
    <w:p w:rsidR="000B4904" w:rsidRDefault="007F7784">
      <w:pPr>
        <w:pStyle w:val="221"/>
        <w:adjustRightInd w:val="0"/>
        <w:snapToGrid w:val="0"/>
        <w:spacing w:line="360" w:lineRule="auto"/>
        <w:ind w:firstLine="480"/>
        <w:outlineLvl w:val="0"/>
        <w:rPr>
          <w:rFonts w:asciiTheme="majorEastAsia" w:eastAsiaTheme="majorEastAsia" w:hAnsiTheme="majorEastAsia" w:cstheme="majorEastAsia"/>
          <w:b w:val="0"/>
          <w:bCs w:val="0"/>
          <w:kern w:val="2"/>
          <w:sz w:val="24"/>
          <w:szCs w:val="24"/>
        </w:rPr>
      </w:pPr>
      <w:r>
        <w:rPr>
          <w:rFonts w:asciiTheme="majorEastAsia" w:eastAsiaTheme="majorEastAsia" w:hAnsiTheme="majorEastAsia" w:cstheme="majorEastAsia" w:hint="eastAsia"/>
          <w:b w:val="0"/>
          <w:bCs w:val="0"/>
          <w:kern w:val="2"/>
          <w:sz w:val="24"/>
          <w:szCs w:val="24"/>
        </w:rPr>
        <w:t xml:space="preserve">3.1.5.3.2. </w:t>
      </w:r>
      <w:r w:rsidR="00BE3D0D" w:rsidRPr="00BE3D0D">
        <w:rPr>
          <w:rFonts w:asciiTheme="majorEastAsia" w:eastAsiaTheme="majorEastAsia" w:hAnsiTheme="majorEastAsia" w:cstheme="majorEastAsia" w:hint="eastAsia"/>
          <w:b w:val="0"/>
          <w:bCs w:val="0"/>
          <w:kern w:val="2"/>
          <w:sz w:val="24"/>
          <w:szCs w:val="24"/>
        </w:rPr>
        <w:t>全年共开展月度新增单位现场核查9次，核查企业193家，核查通过171家，通过率88.6%。提升了源头统计数据质量。在全市范围内组织开展数据质量核查6次，共核查企业81家。其中工业企业25家，投资项目56个，共核减虚报工业总产值56059万元，虚报固定资产投资完成额75899万元，核增漏报工业总产值6140.7万元。通过核查，进一步提升了统计数据质量。</w:t>
      </w:r>
    </w:p>
    <w:p w:rsidR="000B4904" w:rsidRDefault="007F7784">
      <w:pPr>
        <w:pStyle w:val="221"/>
        <w:adjustRightInd w:val="0"/>
        <w:snapToGrid w:val="0"/>
        <w:spacing w:line="360" w:lineRule="auto"/>
        <w:ind w:firstLine="480"/>
        <w:outlineLvl w:val="0"/>
        <w:rPr>
          <w:rFonts w:asciiTheme="majorEastAsia" w:eastAsiaTheme="majorEastAsia" w:hAnsiTheme="majorEastAsia" w:cstheme="majorEastAsia"/>
          <w:b w:val="0"/>
          <w:bCs w:val="0"/>
          <w:kern w:val="2"/>
          <w:sz w:val="24"/>
          <w:szCs w:val="24"/>
        </w:rPr>
      </w:pPr>
      <w:r>
        <w:rPr>
          <w:rFonts w:asciiTheme="majorEastAsia" w:eastAsiaTheme="majorEastAsia" w:hAnsiTheme="majorEastAsia" w:cstheme="majorEastAsia" w:hint="eastAsia"/>
          <w:b w:val="0"/>
          <w:bCs w:val="0"/>
          <w:kern w:val="2"/>
          <w:sz w:val="24"/>
          <w:szCs w:val="24"/>
        </w:rPr>
        <w:t>3.1.5.3.3.</w:t>
      </w:r>
      <w:r w:rsidR="00FE61C1" w:rsidRPr="00FE61C1">
        <w:rPr>
          <w:rFonts w:hint="eastAsia"/>
        </w:rPr>
        <w:t xml:space="preserve"> </w:t>
      </w:r>
      <w:r w:rsidR="00FE61C1" w:rsidRPr="00FE61C1">
        <w:rPr>
          <w:rFonts w:asciiTheme="majorEastAsia" w:eastAsiaTheme="majorEastAsia" w:hAnsiTheme="majorEastAsia" w:cstheme="majorEastAsia" w:hint="eastAsia"/>
          <w:b w:val="0"/>
          <w:bCs w:val="0"/>
          <w:kern w:val="2"/>
          <w:sz w:val="24"/>
          <w:szCs w:val="24"/>
        </w:rPr>
        <w:t>在全市开展了统计基层基础建设工作“回头看”活动，进一步加强乡镇统计基础建设，巩固乡镇统计“八有八化”和村级统计“五有五化”成果</w:t>
      </w:r>
      <w:r w:rsidR="00FE61C1">
        <w:rPr>
          <w:rFonts w:asciiTheme="majorEastAsia" w:eastAsiaTheme="majorEastAsia" w:hAnsiTheme="majorEastAsia" w:cstheme="majorEastAsia" w:hint="eastAsia"/>
          <w:b w:val="0"/>
          <w:bCs w:val="0"/>
          <w:kern w:val="2"/>
          <w:sz w:val="24"/>
          <w:szCs w:val="24"/>
        </w:rPr>
        <w:t>，全</w:t>
      </w:r>
      <w:r w:rsidR="00FE61C1" w:rsidRPr="00FE61C1">
        <w:rPr>
          <w:rFonts w:asciiTheme="majorEastAsia" w:eastAsiaTheme="majorEastAsia" w:hAnsiTheme="majorEastAsia" w:cstheme="majorEastAsia" w:hint="eastAsia"/>
          <w:b w:val="0"/>
          <w:bCs w:val="0"/>
          <w:kern w:val="2"/>
          <w:sz w:val="24"/>
          <w:szCs w:val="24"/>
        </w:rPr>
        <w:t>市所有乡镇基本实现“八有八化”，92.7%</w:t>
      </w:r>
      <w:r w:rsidR="00FE61C1">
        <w:rPr>
          <w:rFonts w:asciiTheme="majorEastAsia" w:eastAsiaTheme="majorEastAsia" w:hAnsiTheme="majorEastAsia" w:cstheme="majorEastAsia" w:hint="eastAsia"/>
          <w:b w:val="0"/>
          <w:bCs w:val="0"/>
          <w:kern w:val="2"/>
          <w:sz w:val="24"/>
          <w:szCs w:val="24"/>
        </w:rPr>
        <w:t>的村实现了“五有五化”</w:t>
      </w:r>
      <w:r>
        <w:rPr>
          <w:rFonts w:asciiTheme="majorEastAsia" w:eastAsiaTheme="majorEastAsia" w:hAnsiTheme="majorEastAsia" w:cstheme="majorEastAsia" w:hint="eastAsia"/>
          <w:b w:val="0"/>
          <w:bCs w:val="0"/>
          <w:kern w:val="2"/>
          <w:sz w:val="24"/>
          <w:szCs w:val="24"/>
        </w:rPr>
        <w:t>。</w:t>
      </w:r>
    </w:p>
    <w:p w:rsidR="000B4904" w:rsidRDefault="007F7784">
      <w:pPr>
        <w:pStyle w:val="221"/>
        <w:adjustRightInd w:val="0"/>
        <w:snapToGrid w:val="0"/>
        <w:spacing w:line="360" w:lineRule="auto"/>
        <w:ind w:firstLine="480"/>
        <w:outlineLvl w:val="0"/>
        <w:rPr>
          <w:rFonts w:asciiTheme="majorEastAsia" w:eastAsiaTheme="majorEastAsia" w:hAnsiTheme="majorEastAsia" w:cstheme="majorEastAsia"/>
          <w:b w:val="0"/>
          <w:bCs w:val="0"/>
          <w:kern w:val="2"/>
          <w:sz w:val="24"/>
          <w:szCs w:val="24"/>
        </w:rPr>
      </w:pPr>
      <w:r>
        <w:rPr>
          <w:rFonts w:asciiTheme="majorEastAsia" w:eastAsiaTheme="majorEastAsia" w:hAnsiTheme="majorEastAsia" w:cstheme="majorEastAsia" w:hint="eastAsia"/>
          <w:b w:val="0"/>
          <w:bCs w:val="0"/>
          <w:kern w:val="2"/>
          <w:sz w:val="24"/>
          <w:szCs w:val="24"/>
        </w:rPr>
        <w:t>3.1.5.3.4.</w:t>
      </w:r>
      <w:r w:rsidR="00FE61C1" w:rsidRPr="00FE61C1">
        <w:rPr>
          <w:rFonts w:asciiTheme="majorEastAsia" w:eastAsiaTheme="majorEastAsia" w:hAnsiTheme="majorEastAsia" w:cstheme="majorEastAsia" w:hint="eastAsia"/>
          <w:b w:val="0"/>
          <w:bCs w:val="0"/>
          <w:kern w:val="2"/>
          <w:sz w:val="24"/>
          <w:szCs w:val="24"/>
        </w:rPr>
        <w:t>全市共登记录入农户42.39万户、规模户4171户、农业经营单位1631家。前后开展了8次数据质量复查督办工作，共检查35个镇、45个村、52个普查小区、590户农户。先后对各县（市、区）进行了90轮（次）数据审核和核查，数据质量得到明显提升</w:t>
      </w:r>
      <w:r>
        <w:rPr>
          <w:rFonts w:asciiTheme="majorEastAsia" w:eastAsiaTheme="majorEastAsia" w:hAnsiTheme="majorEastAsia" w:cstheme="majorEastAsia" w:hint="eastAsia"/>
          <w:b w:val="0"/>
          <w:bCs w:val="0"/>
          <w:kern w:val="2"/>
          <w:sz w:val="24"/>
          <w:szCs w:val="24"/>
        </w:rPr>
        <w:t>。</w:t>
      </w:r>
    </w:p>
    <w:p w:rsidR="000B4904" w:rsidRDefault="007F7784">
      <w:pPr>
        <w:pStyle w:val="221"/>
        <w:adjustRightInd w:val="0"/>
        <w:snapToGrid w:val="0"/>
        <w:spacing w:line="360" w:lineRule="auto"/>
        <w:ind w:firstLine="480"/>
        <w:outlineLvl w:val="0"/>
        <w:rPr>
          <w:rFonts w:asciiTheme="majorEastAsia" w:eastAsiaTheme="majorEastAsia" w:hAnsiTheme="majorEastAsia" w:cstheme="majorEastAsia"/>
          <w:b w:val="0"/>
          <w:bCs w:val="0"/>
          <w:kern w:val="2"/>
          <w:sz w:val="24"/>
          <w:szCs w:val="24"/>
        </w:rPr>
      </w:pPr>
      <w:r>
        <w:rPr>
          <w:rFonts w:asciiTheme="majorEastAsia" w:eastAsiaTheme="majorEastAsia" w:hAnsiTheme="majorEastAsia" w:cstheme="majorEastAsia" w:hint="eastAsia"/>
          <w:b w:val="0"/>
          <w:bCs w:val="0"/>
          <w:kern w:val="2"/>
          <w:sz w:val="24"/>
          <w:szCs w:val="24"/>
        </w:rPr>
        <w:t>3.1.5.3.5.</w:t>
      </w:r>
      <w:r w:rsidR="00FE61C1" w:rsidRPr="00FE61C1">
        <w:rPr>
          <w:rFonts w:hint="eastAsia"/>
        </w:rPr>
        <w:t xml:space="preserve"> </w:t>
      </w:r>
      <w:r w:rsidR="00FE61C1">
        <w:rPr>
          <w:rFonts w:asciiTheme="majorEastAsia" w:eastAsiaTheme="majorEastAsia" w:hAnsiTheme="majorEastAsia" w:cstheme="majorEastAsia" w:hint="eastAsia"/>
          <w:b w:val="0"/>
          <w:bCs w:val="0"/>
          <w:kern w:val="2"/>
          <w:sz w:val="24"/>
          <w:szCs w:val="24"/>
        </w:rPr>
        <w:t>坚持编印《统计年鉴》、《领导干部手册》和《统计月报》等统计产品</w:t>
      </w:r>
      <w:r w:rsidR="00FE61C1" w:rsidRPr="00FE61C1">
        <w:rPr>
          <w:rFonts w:asciiTheme="majorEastAsia" w:eastAsiaTheme="majorEastAsia" w:hAnsiTheme="majorEastAsia" w:cstheme="majorEastAsia" w:hint="eastAsia"/>
          <w:b w:val="0"/>
          <w:bCs w:val="0"/>
          <w:kern w:val="2"/>
          <w:sz w:val="24"/>
          <w:szCs w:val="24"/>
        </w:rPr>
        <w:t>；在《随州日报》、随州政府门户网站等市级主流媒体发布各种统计公报，服务社会大众；积极探索新媒体服务模式，开通创建了随州统计</w:t>
      </w:r>
      <w:proofErr w:type="gramStart"/>
      <w:r w:rsidR="00FE61C1" w:rsidRPr="00FE61C1">
        <w:rPr>
          <w:rFonts w:asciiTheme="majorEastAsia" w:eastAsiaTheme="majorEastAsia" w:hAnsiTheme="majorEastAsia" w:cstheme="majorEastAsia" w:hint="eastAsia"/>
          <w:b w:val="0"/>
          <w:bCs w:val="0"/>
          <w:kern w:val="2"/>
          <w:sz w:val="24"/>
          <w:szCs w:val="24"/>
        </w:rPr>
        <w:t>微信公众号</w:t>
      </w:r>
      <w:proofErr w:type="gramEnd"/>
      <w:r w:rsidR="00FE61C1" w:rsidRPr="00FE61C1">
        <w:rPr>
          <w:rFonts w:asciiTheme="majorEastAsia" w:eastAsiaTheme="majorEastAsia" w:hAnsiTheme="majorEastAsia" w:cstheme="majorEastAsia" w:hint="eastAsia"/>
          <w:b w:val="0"/>
          <w:bCs w:val="0"/>
          <w:kern w:val="2"/>
          <w:sz w:val="24"/>
          <w:szCs w:val="24"/>
        </w:rPr>
        <w:t>。“数库”服务保障开创立体化多元化新模式。</w:t>
      </w:r>
    </w:p>
    <w:p w:rsidR="002573EB" w:rsidRDefault="007F7784">
      <w:pPr>
        <w:pStyle w:val="221"/>
        <w:adjustRightInd w:val="0"/>
        <w:snapToGrid w:val="0"/>
        <w:spacing w:line="360" w:lineRule="auto"/>
        <w:ind w:firstLine="480"/>
        <w:outlineLvl w:val="0"/>
        <w:rPr>
          <w:rFonts w:asciiTheme="majorEastAsia" w:eastAsiaTheme="majorEastAsia" w:hAnsiTheme="majorEastAsia" w:cstheme="majorEastAsia"/>
          <w:b w:val="0"/>
          <w:bCs w:val="0"/>
          <w:kern w:val="2"/>
          <w:sz w:val="24"/>
          <w:szCs w:val="24"/>
        </w:rPr>
      </w:pPr>
      <w:r>
        <w:rPr>
          <w:rFonts w:asciiTheme="majorEastAsia" w:eastAsiaTheme="majorEastAsia" w:hAnsiTheme="majorEastAsia" w:cstheme="majorEastAsia" w:hint="eastAsia"/>
          <w:b w:val="0"/>
          <w:bCs w:val="0"/>
          <w:kern w:val="2"/>
          <w:sz w:val="24"/>
          <w:szCs w:val="24"/>
        </w:rPr>
        <w:t>3.1.5.3.6.</w:t>
      </w:r>
      <w:r w:rsidR="00FE61C1" w:rsidRPr="00FE61C1">
        <w:rPr>
          <w:rFonts w:hint="eastAsia"/>
        </w:rPr>
        <w:t xml:space="preserve"> </w:t>
      </w:r>
      <w:r w:rsidR="00FE61C1" w:rsidRPr="00FE61C1">
        <w:rPr>
          <w:rFonts w:asciiTheme="majorEastAsia" w:eastAsiaTheme="majorEastAsia" w:hAnsiTheme="majorEastAsia" w:cstheme="majorEastAsia" w:hint="eastAsia"/>
          <w:b w:val="0"/>
          <w:bCs w:val="0"/>
          <w:kern w:val="2"/>
          <w:sz w:val="24"/>
          <w:szCs w:val="24"/>
        </w:rPr>
        <w:t>认真研究落实县域镇域发展“培基工程”</w:t>
      </w:r>
      <w:r w:rsidR="00FE61C1">
        <w:rPr>
          <w:rFonts w:asciiTheme="majorEastAsia" w:eastAsiaTheme="majorEastAsia" w:hAnsiTheme="majorEastAsia" w:cstheme="majorEastAsia" w:hint="eastAsia"/>
          <w:b w:val="0"/>
          <w:bCs w:val="0"/>
          <w:kern w:val="2"/>
          <w:sz w:val="24"/>
          <w:szCs w:val="24"/>
        </w:rPr>
        <w:t>的各项工作部署，发挥统计数据资源优势，精准监测县域镇域发展状况</w:t>
      </w:r>
      <w:r>
        <w:rPr>
          <w:rFonts w:asciiTheme="majorEastAsia" w:eastAsiaTheme="majorEastAsia" w:hAnsiTheme="majorEastAsia" w:cstheme="majorEastAsia" w:hint="eastAsia"/>
          <w:b w:val="0"/>
          <w:bCs w:val="0"/>
          <w:kern w:val="2"/>
          <w:sz w:val="24"/>
          <w:szCs w:val="24"/>
        </w:rPr>
        <w:t>。</w:t>
      </w:r>
      <w:r w:rsidR="00FE61C1" w:rsidRPr="00FE61C1">
        <w:rPr>
          <w:rFonts w:asciiTheme="majorEastAsia" w:eastAsiaTheme="majorEastAsia" w:hAnsiTheme="majorEastAsia" w:cstheme="majorEastAsia" w:hint="eastAsia"/>
          <w:b w:val="0"/>
          <w:bCs w:val="0"/>
          <w:kern w:val="2"/>
          <w:sz w:val="24"/>
          <w:szCs w:val="24"/>
        </w:rPr>
        <w:t>配合市委组织部将省定我市责任目标指标细化分解到各市直部门，确定权重分值，推动全市各项工作责任到位。积极监测省定我市政绩目标考核指标完成情况，提供相关数据。共向帮扶村落实帮扶资金12万余元，干部职工踊跃捐款7千余元，扶贫工作队先后15次到帮扶村开展帮扶工作</w:t>
      </w:r>
      <w:r w:rsidR="00FE61C1">
        <w:rPr>
          <w:rFonts w:asciiTheme="majorEastAsia" w:eastAsiaTheme="majorEastAsia" w:hAnsiTheme="majorEastAsia" w:cstheme="majorEastAsia" w:hint="eastAsia"/>
          <w:b w:val="0"/>
          <w:bCs w:val="0"/>
          <w:kern w:val="2"/>
          <w:sz w:val="24"/>
          <w:szCs w:val="24"/>
        </w:rPr>
        <w:t>。</w:t>
      </w:r>
    </w:p>
    <w:p w:rsidR="00FE61C1" w:rsidRDefault="007F7784">
      <w:pPr>
        <w:pStyle w:val="221"/>
        <w:adjustRightInd w:val="0"/>
        <w:snapToGrid w:val="0"/>
        <w:spacing w:line="360" w:lineRule="auto"/>
        <w:ind w:firstLine="480"/>
        <w:outlineLvl w:val="0"/>
        <w:rPr>
          <w:rFonts w:asciiTheme="majorEastAsia" w:eastAsiaTheme="majorEastAsia" w:hAnsiTheme="majorEastAsia" w:cstheme="majorEastAsia"/>
          <w:b w:val="0"/>
          <w:bCs w:val="0"/>
          <w:kern w:val="2"/>
          <w:sz w:val="24"/>
          <w:szCs w:val="24"/>
        </w:rPr>
      </w:pPr>
      <w:r>
        <w:rPr>
          <w:rFonts w:asciiTheme="majorEastAsia" w:eastAsiaTheme="majorEastAsia" w:hAnsiTheme="majorEastAsia" w:cstheme="majorEastAsia" w:hint="eastAsia"/>
          <w:b w:val="0"/>
          <w:bCs w:val="0"/>
          <w:kern w:val="2"/>
          <w:sz w:val="24"/>
          <w:szCs w:val="24"/>
        </w:rPr>
        <w:lastRenderedPageBreak/>
        <w:t>3.1.5.3.7.</w:t>
      </w:r>
      <w:r w:rsidR="00FE61C1" w:rsidRPr="00FE61C1">
        <w:rPr>
          <w:rFonts w:hint="eastAsia"/>
        </w:rPr>
        <w:t xml:space="preserve"> </w:t>
      </w:r>
      <w:r w:rsidR="00FE61C1" w:rsidRPr="00FE61C1">
        <w:rPr>
          <w:rFonts w:asciiTheme="majorEastAsia" w:eastAsiaTheme="majorEastAsia" w:hAnsiTheme="majorEastAsia" w:cstheme="majorEastAsia" w:hint="eastAsia"/>
          <w:b w:val="0"/>
          <w:bCs w:val="0"/>
          <w:kern w:val="2"/>
          <w:sz w:val="24"/>
          <w:szCs w:val="24"/>
        </w:rPr>
        <w:t>及时拟定《认真学习宣传贯彻党的十九大精神工作方案》（</w:t>
      </w:r>
      <w:proofErr w:type="gramStart"/>
      <w:r w:rsidR="00FE61C1" w:rsidRPr="00FE61C1">
        <w:rPr>
          <w:rFonts w:asciiTheme="majorEastAsia" w:eastAsiaTheme="majorEastAsia" w:hAnsiTheme="majorEastAsia" w:cstheme="majorEastAsia" w:hint="eastAsia"/>
          <w:b w:val="0"/>
          <w:bCs w:val="0"/>
          <w:kern w:val="2"/>
          <w:sz w:val="24"/>
          <w:szCs w:val="24"/>
        </w:rPr>
        <w:t>随统党</w:t>
      </w:r>
      <w:proofErr w:type="gramEnd"/>
      <w:r w:rsidR="00FE61C1" w:rsidRPr="00FE61C1">
        <w:rPr>
          <w:rFonts w:asciiTheme="majorEastAsia" w:eastAsiaTheme="majorEastAsia" w:hAnsiTheme="majorEastAsia" w:cstheme="majorEastAsia" w:hint="eastAsia"/>
          <w:b w:val="0"/>
          <w:bCs w:val="0"/>
          <w:kern w:val="2"/>
          <w:sz w:val="24"/>
          <w:szCs w:val="24"/>
        </w:rPr>
        <w:t>发〔2017〕16号），成立了“新时代随州统计讲习所”，</w:t>
      </w:r>
      <w:r w:rsidR="002573EB" w:rsidRPr="002573EB">
        <w:rPr>
          <w:rFonts w:asciiTheme="majorEastAsia" w:eastAsiaTheme="majorEastAsia" w:hAnsiTheme="majorEastAsia" w:cstheme="majorEastAsia" w:hint="eastAsia"/>
          <w:b w:val="0"/>
          <w:bCs w:val="0"/>
          <w:kern w:val="2"/>
          <w:sz w:val="24"/>
          <w:szCs w:val="24"/>
        </w:rPr>
        <w:t>成功举办全市统计干部作风能力提升班，提升了调查单位统计人员业务能力素质。</w:t>
      </w:r>
    </w:p>
    <w:p w:rsidR="000B4904" w:rsidRDefault="002573EB">
      <w:pPr>
        <w:pStyle w:val="221"/>
        <w:adjustRightInd w:val="0"/>
        <w:snapToGrid w:val="0"/>
        <w:spacing w:line="360" w:lineRule="auto"/>
        <w:ind w:firstLine="480"/>
        <w:outlineLvl w:val="0"/>
        <w:rPr>
          <w:rFonts w:asciiTheme="majorEastAsia" w:eastAsiaTheme="majorEastAsia" w:hAnsiTheme="majorEastAsia" w:cstheme="majorEastAsia"/>
          <w:b w:val="0"/>
          <w:bCs w:val="0"/>
          <w:kern w:val="2"/>
          <w:sz w:val="24"/>
          <w:szCs w:val="24"/>
        </w:rPr>
      </w:pPr>
      <w:r>
        <w:rPr>
          <w:rFonts w:asciiTheme="majorEastAsia" w:eastAsiaTheme="majorEastAsia" w:hAnsiTheme="majorEastAsia" w:cstheme="majorEastAsia" w:hint="eastAsia"/>
          <w:b w:val="0"/>
          <w:bCs w:val="0"/>
          <w:kern w:val="2"/>
          <w:sz w:val="24"/>
          <w:szCs w:val="24"/>
        </w:rPr>
        <w:t>3.1.5.3.8.</w:t>
      </w:r>
      <w:r w:rsidRPr="002573EB">
        <w:rPr>
          <w:rFonts w:hint="eastAsia"/>
        </w:rPr>
        <w:t xml:space="preserve"> </w:t>
      </w:r>
      <w:r w:rsidRPr="002573EB">
        <w:rPr>
          <w:rFonts w:asciiTheme="majorEastAsia" w:eastAsiaTheme="majorEastAsia" w:hAnsiTheme="majorEastAsia" w:cstheme="majorEastAsia" w:hint="eastAsia"/>
          <w:b w:val="0"/>
          <w:bCs w:val="0"/>
          <w:kern w:val="2"/>
          <w:sz w:val="24"/>
          <w:szCs w:val="24"/>
        </w:rPr>
        <w:t>坚持旗帜鲜明讲政治、站位</w:t>
      </w:r>
      <w:proofErr w:type="gramStart"/>
      <w:r w:rsidRPr="002573EB">
        <w:rPr>
          <w:rFonts w:asciiTheme="majorEastAsia" w:eastAsiaTheme="majorEastAsia" w:hAnsiTheme="majorEastAsia" w:cstheme="majorEastAsia" w:hint="eastAsia"/>
          <w:b w:val="0"/>
          <w:bCs w:val="0"/>
          <w:kern w:val="2"/>
          <w:sz w:val="24"/>
          <w:szCs w:val="24"/>
        </w:rPr>
        <w:t>高远讲</w:t>
      </w:r>
      <w:proofErr w:type="gramEnd"/>
      <w:r w:rsidRPr="002573EB">
        <w:rPr>
          <w:rFonts w:asciiTheme="majorEastAsia" w:eastAsiaTheme="majorEastAsia" w:hAnsiTheme="majorEastAsia" w:cstheme="majorEastAsia" w:hint="eastAsia"/>
          <w:b w:val="0"/>
          <w:bCs w:val="0"/>
          <w:kern w:val="2"/>
          <w:sz w:val="24"/>
          <w:szCs w:val="24"/>
        </w:rPr>
        <w:t>大局、胸襟坦荡讲团结、务实</w:t>
      </w:r>
      <w:proofErr w:type="gramStart"/>
      <w:r w:rsidRPr="002573EB">
        <w:rPr>
          <w:rFonts w:asciiTheme="majorEastAsia" w:eastAsiaTheme="majorEastAsia" w:hAnsiTheme="majorEastAsia" w:cstheme="majorEastAsia" w:hint="eastAsia"/>
          <w:b w:val="0"/>
          <w:bCs w:val="0"/>
          <w:kern w:val="2"/>
          <w:sz w:val="24"/>
          <w:szCs w:val="24"/>
        </w:rPr>
        <w:t>重行讲</w:t>
      </w:r>
      <w:proofErr w:type="gramEnd"/>
      <w:r w:rsidRPr="002573EB">
        <w:rPr>
          <w:rFonts w:asciiTheme="majorEastAsia" w:eastAsiaTheme="majorEastAsia" w:hAnsiTheme="majorEastAsia" w:cstheme="majorEastAsia" w:hint="eastAsia"/>
          <w:b w:val="0"/>
          <w:bCs w:val="0"/>
          <w:kern w:val="2"/>
          <w:sz w:val="24"/>
          <w:szCs w:val="24"/>
        </w:rPr>
        <w:t>业绩、恪守本分讲廉政。局党组召开涉及“三重一大”事项的会议22次，研究重大开支21笔，研究重大活动7次，研究重要人事任免事项5</w:t>
      </w:r>
      <w:r>
        <w:rPr>
          <w:rFonts w:asciiTheme="majorEastAsia" w:eastAsiaTheme="majorEastAsia" w:hAnsiTheme="majorEastAsia" w:cstheme="majorEastAsia" w:hint="eastAsia"/>
          <w:b w:val="0"/>
          <w:bCs w:val="0"/>
          <w:kern w:val="2"/>
          <w:sz w:val="24"/>
          <w:szCs w:val="24"/>
        </w:rPr>
        <w:t>次，每次研究前均向派驻纪检组进行了报告。</w:t>
      </w:r>
      <w:r w:rsidR="007F7784">
        <w:rPr>
          <w:rFonts w:asciiTheme="majorEastAsia" w:eastAsiaTheme="majorEastAsia" w:hAnsiTheme="majorEastAsia" w:cstheme="majorEastAsia" w:hint="eastAsia"/>
          <w:b w:val="0"/>
          <w:bCs w:val="0"/>
          <w:kern w:val="2"/>
          <w:sz w:val="24"/>
          <w:szCs w:val="24"/>
        </w:rPr>
        <w:t>今年来，未出现违规违纪问题。</w:t>
      </w:r>
    </w:p>
    <w:p w:rsidR="000B4904" w:rsidRDefault="007F7784">
      <w:pPr>
        <w:pStyle w:val="221"/>
        <w:adjustRightInd w:val="0"/>
        <w:snapToGrid w:val="0"/>
        <w:spacing w:line="360" w:lineRule="auto"/>
        <w:outlineLvl w:val="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3.1.5.4  </w:t>
      </w:r>
      <w:bookmarkEnd w:id="28"/>
      <w:r>
        <w:rPr>
          <w:rFonts w:asciiTheme="majorEastAsia" w:eastAsiaTheme="majorEastAsia" w:hAnsiTheme="majorEastAsia" w:cstheme="majorEastAsia" w:hint="eastAsia"/>
          <w:sz w:val="24"/>
          <w:szCs w:val="24"/>
        </w:rPr>
        <w:t>效益</w:t>
      </w:r>
    </w:p>
    <w:p w:rsidR="000B4904" w:rsidRDefault="007F7784">
      <w:pPr>
        <w:widowControl/>
        <w:wordWrap w:val="0"/>
        <w:adjustRightInd w:val="0"/>
        <w:snapToGrid w:val="0"/>
        <w:spacing w:line="360" w:lineRule="auto"/>
        <w:ind w:firstLine="641"/>
        <w:jc w:val="left"/>
        <w:rPr>
          <w:rFonts w:asciiTheme="majorEastAsia" w:eastAsiaTheme="majorEastAsia" w:hAnsiTheme="majorEastAsia" w:cstheme="majorEastAsia"/>
          <w:sz w:val="24"/>
          <w:szCs w:val="24"/>
        </w:rPr>
      </w:pPr>
      <w:bookmarkStart w:id="29" w:name="_Toc452659708"/>
      <w:r>
        <w:rPr>
          <w:rFonts w:asciiTheme="majorEastAsia" w:eastAsiaTheme="majorEastAsia" w:hAnsiTheme="majorEastAsia" w:cstheme="majorEastAsia" w:hint="eastAsia"/>
          <w:sz w:val="24"/>
          <w:szCs w:val="24"/>
        </w:rPr>
        <w:t>2017年</w:t>
      </w:r>
      <w:r w:rsidR="002573EB">
        <w:rPr>
          <w:rFonts w:asciiTheme="majorEastAsia" w:eastAsiaTheme="majorEastAsia" w:hAnsiTheme="majorEastAsia" w:cstheme="majorEastAsia" w:hint="eastAsia"/>
          <w:sz w:val="24"/>
          <w:szCs w:val="24"/>
        </w:rPr>
        <w:t>随州市统计机</w:t>
      </w:r>
      <w:r>
        <w:rPr>
          <w:rFonts w:asciiTheme="majorEastAsia" w:eastAsiaTheme="majorEastAsia" w:hAnsiTheme="majorEastAsia" w:cstheme="majorEastAsia" w:hint="eastAsia"/>
          <w:sz w:val="24"/>
          <w:szCs w:val="24"/>
        </w:rPr>
        <w:t>在全体干部职工的共同努力下圆满出色完成了各项工作目标和任务。</w:t>
      </w:r>
    </w:p>
    <w:p w:rsidR="000B4904" w:rsidRDefault="007F7784">
      <w:pPr>
        <w:widowControl/>
        <w:wordWrap w:val="0"/>
        <w:adjustRightInd w:val="0"/>
        <w:snapToGrid w:val="0"/>
        <w:spacing w:line="360" w:lineRule="auto"/>
        <w:ind w:firstLine="640"/>
        <w:jc w:val="lef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3.1.5.4.1、社会效益：</w:t>
      </w:r>
    </w:p>
    <w:p w:rsidR="000B4904" w:rsidRDefault="00A347DA">
      <w:pPr>
        <w:widowControl/>
        <w:wordWrap w:val="0"/>
        <w:adjustRightInd w:val="0"/>
        <w:snapToGrid w:val="0"/>
        <w:spacing w:line="360" w:lineRule="auto"/>
        <w:ind w:firstLine="640"/>
        <w:jc w:val="left"/>
        <w:rPr>
          <w:rFonts w:asciiTheme="majorEastAsia" w:eastAsiaTheme="majorEastAsia" w:hAnsiTheme="majorEastAsia" w:cstheme="majorEastAsia"/>
          <w:sz w:val="24"/>
          <w:szCs w:val="24"/>
        </w:rPr>
      </w:pPr>
      <w:r w:rsidRPr="00A347DA">
        <w:rPr>
          <w:rFonts w:asciiTheme="majorEastAsia" w:eastAsiaTheme="majorEastAsia" w:hAnsiTheme="majorEastAsia" w:cstheme="majorEastAsia" w:hint="eastAsia"/>
          <w:sz w:val="24"/>
          <w:szCs w:val="24"/>
        </w:rPr>
        <w:t>认真落实省局会议精神和市委市政府工作决策部署，</w:t>
      </w:r>
      <w:r w:rsidR="009C5AEC">
        <w:rPr>
          <w:rFonts w:asciiTheme="majorEastAsia" w:eastAsiaTheme="majorEastAsia" w:hAnsiTheme="majorEastAsia" w:cstheme="majorEastAsia" w:hint="eastAsia"/>
          <w:sz w:val="24"/>
          <w:szCs w:val="24"/>
        </w:rPr>
        <w:t>使</w:t>
      </w:r>
      <w:r w:rsidRPr="00A347DA">
        <w:rPr>
          <w:rFonts w:asciiTheme="majorEastAsia" w:eastAsiaTheme="majorEastAsia" w:hAnsiTheme="majorEastAsia" w:cstheme="majorEastAsia" w:hint="eastAsia"/>
          <w:sz w:val="24"/>
          <w:szCs w:val="24"/>
        </w:rPr>
        <w:t>统计数据真实性、统计服务针对性、统计工作公信力得到进一步提升。</w:t>
      </w:r>
    </w:p>
    <w:p w:rsidR="000B4904" w:rsidRDefault="007F7784">
      <w:pPr>
        <w:widowControl/>
        <w:wordWrap w:val="0"/>
        <w:adjustRightInd w:val="0"/>
        <w:snapToGrid w:val="0"/>
        <w:spacing w:line="360" w:lineRule="auto"/>
        <w:ind w:firstLine="640"/>
        <w:jc w:val="lef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3.1.5.4.2、经济效益</w:t>
      </w:r>
    </w:p>
    <w:p w:rsidR="00C9093A" w:rsidRDefault="009C5AEC">
      <w:pPr>
        <w:widowControl/>
        <w:wordWrap w:val="0"/>
        <w:adjustRightInd w:val="0"/>
        <w:snapToGrid w:val="0"/>
        <w:spacing w:line="360" w:lineRule="auto"/>
        <w:ind w:firstLine="640"/>
        <w:jc w:val="left"/>
        <w:rPr>
          <w:rFonts w:asciiTheme="majorEastAsia" w:eastAsiaTheme="majorEastAsia" w:hAnsiTheme="majorEastAsia" w:cstheme="majorEastAsia"/>
          <w:sz w:val="24"/>
          <w:szCs w:val="24"/>
        </w:rPr>
      </w:pPr>
      <w:r w:rsidRPr="009C5AEC">
        <w:rPr>
          <w:rFonts w:asciiTheme="majorEastAsia" w:eastAsiaTheme="majorEastAsia" w:hAnsiTheme="majorEastAsia" w:cstheme="majorEastAsia" w:hint="eastAsia"/>
          <w:sz w:val="24"/>
          <w:szCs w:val="24"/>
        </w:rPr>
        <w:t>核减虚报工业总产值56059万元，虚报固定资产投资完成额75899万元，核增漏报工业总产值6140.7万元。</w:t>
      </w:r>
      <w:r w:rsidR="00C9093A" w:rsidRPr="00C9093A">
        <w:rPr>
          <w:rFonts w:asciiTheme="majorEastAsia" w:eastAsiaTheme="majorEastAsia" w:hAnsiTheme="majorEastAsia" w:cstheme="majorEastAsia" w:hint="eastAsia"/>
          <w:sz w:val="24"/>
          <w:szCs w:val="24"/>
        </w:rPr>
        <w:t>全市所有乡镇基本实现“八有八化”，92.7%的村实现了“五有五化”</w:t>
      </w:r>
      <w:r w:rsidR="007F7784">
        <w:rPr>
          <w:rFonts w:asciiTheme="majorEastAsia" w:eastAsiaTheme="majorEastAsia" w:hAnsiTheme="majorEastAsia" w:cstheme="majorEastAsia" w:hint="eastAsia"/>
          <w:sz w:val="24"/>
          <w:szCs w:val="24"/>
        </w:rPr>
        <w:t>。</w:t>
      </w:r>
      <w:r w:rsidR="00C9093A" w:rsidRPr="00C9093A">
        <w:rPr>
          <w:rFonts w:asciiTheme="majorEastAsia" w:eastAsiaTheme="majorEastAsia" w:hAnsiTheme="majorEastAsia" w:cstheme="majorEastAsia" w:hint="eastAsia"/>
          <w:sz w:val="24"/>
          <w:szCs w:val="24"/>
        </w:rPr>
        <w:t>全市统计诚信企业创建率达到了59.8%，超出省定50%的创建目标近10个百分点</w:t>
      </w:r>
      <w:r w:rsidR="00C9093A">
        <w:rPr>
          <w:rFonts w:asciiTheme="majorEastAsia" w:eastAsiaTheme="majorEastAsia" w:hAnsiTheme="majorEastAsia" w:cstheme="majorEastAsia" w:hint="eastAsia"/>
          <w:sz w:val="24"/>
          <w:szCs w:val="24"/>
        </w:rPr>
        <w:t>。</w:t>
      </w:r>
      <w:r w:rsidR="00C9093A" w:rsidRPr="00C9093A">
        <w:rPr>
          <w:rFonts w:asciiTheme="majorEastAsia" w:eastAsiaTheme="majorEastAsia" w:hAnsiTheme="majorEastAsia" w:cstheme="majorEastAsia" w:hint="eastAsia"/>
          <w:sz w:val="24"/>
          <w:szCs w:val="24"/>
        </w:rPr>
        <w:t>全市农业普查入户登记全面完成，现正积极准备数据开发和成果运用等后续工作</w:t>
      </w:r>
      <w:r w:rsidR="00C9093A">
        <w:rPr>
          <w:rFonts w:asciiTheme="majorEastAsia" w:eastAsiaTheme="majorEastAsia" w:hAnsiTheme="majorEastAsia" w:cstheme="majorEastAsia" w:hint="eastAsia"/>
          <w:sz w:val="24"/>
          <w:szCs w:val="24"/>
        </w:rPr>
        <w:t>，</w:t>
      </w:r>
      <w:r w:rsidR="00C9093A" w:rsidRPr="00C9093A">
        <w:rPr>
          <w:rFonts w:asciiTheme="majorEastAsia" w:eastAsiaTheme="majorEastAsia" w:hAnsiTheme="majorEastAsia" w:cstheme="majorEastAsia" w:hint="eastAsia"/>
          <w:sz w:val="24"/>
          <w:szCs w:val="24"/>
        </w:rPr>
        <w:t>全市共登记录入农户42.39万户、规模户4171户、农业经营单位1631家。</w:t>
      </w:r>
    </w:p>
    <w:p w:rsidR="000B4904" w:rsidRDefault="007F7784">
      <w:pPr>
        <w:widowControl/>
        <w:wordWrap w:val="0"/>
        <w:adjustRightInd w:val="0"/>
        <w:snapToGrid w:val="0"/>
        <w:spacing w:line="360" w:lineRule="auto"/>
        <w:ind w:firstLine="640"/>
        <w:jc w:val="lef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3.1.5.4.3社会公众满意度</w:t>
      </w:r>
    </w:p>
    <w:p w:rsidR="000B4904" w:rsidRDefault="007F7784">
      <w:pPr>
        <w:widowControl/>
        <w:wordWrap w:val="0"/>
        <w:adjustRightInd w:val="0"/>
        <w:snapToGrid w:val="0"/>
        <w:spacing w:line="360" w:lineRule="auto"/>
        <w:ind w:firstLine="640"/>
        <w:jc w:val="lef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我们认为，服务对象对项目实施效果非常满意。通过案件回访和实地实施的调查问卷统计分析，受访的行政相对人及举报投诉人对2017年所做工作的总体满意度、服务</w:t>
      </w:r>
      <w:proofErr w:type="gramStart"/>
      <w:r>
        <w:rPr>
          <w:rFonts w:asciiTheme="majorEastAsia" w:eastAsiaTheme="majorEastAsia" w:hAnsiTheme="majorEastAsia" w:cstheme="majorEastAsia" w:hint="eastAsia"/>
          <w:sz w:val="24"/>
          <w:szCs w:val="24"/>
        </w:rPr>
        <w:t>履</w:t>
      </w:r>
      <w:proofErr w:type="gramEnd"/>
      <w:r>
        <w:rPr>
          <w:rFonts w:asciiTheme="majorEastAsia" w:eastAsiaTheme="majorEastAsia" w:hAnsiTheme="majorEastAsia" w:cstheme="majorEastAsia" w:hint="eastAsia"/>
          <w:sz w:val="24"/>
          <w:szCs w:val="24"/>
        </w:rPr>
        <w:t>职工作方面满意度等综合满意度95%。</w:t>
      </w:r>
    </w:p>
    <w:p w:rsidR="000B4904" w:rsidRDefault="007F7784">
      <w:pPr>
        <w:pStyle w:val="221"/>
        <w:adjustRightInd w:val="0"/>
        <w:snapToGrid w:val="0"/>
        <w:spacing w:line="360" w:lineRule="auto"/>
        <w:outlineLvl w:val="0"/>
        <w:rPr>
          <w:rFonts w:asciiTheme="majorEastAsia" w:eastAsiaTheme="majorEastAsia" w:hAnsiTheme="majorEastAsia" w:cstheme="majorEastAsia"/>
          <w:sz w:val="24"/>
          <w:szCs w:val="24"/>
        </w:rPr>
      </w:pPr>
      <w:bookmarkStart w:id="30" w:name="_Toc452659709"/>
      <w:r>
        <w:rPr>
          <w:rFonts w:asciiTheme="majorEastAsia" w:eastAsiaTheme="majorEastAsia" w:hAnsiTheme="majorEastAsia" w:cstheme="majorEastAsia" w:hint="eastAsia"/>
          <w:sz w:val="24"/>
          <w:szCs w:val="24"/>
        </w:rPr>
        <w:t>3.1.6  评价结论</w:t>
      </w:r>
      <w:bookmarkEnd w:id="30"/>
    </w:p>
    <w:p w:rsidR="000B4904" w:rsidRDefault="007F7784">
      <w:pPr>
        <w:adjustRightInd w:val="0"/>
        <w:snapToGrid w:val="0"/>
        <w:spacing w:line="360" w:lineRule="auto"/>
        <w:ind w:firstLineChars="200" w:firstLine="482"/>
        <w:rPr>
          <w:rFonts w:asciiTheme="majorEastAsia" w:eastAsiaTheme="majorEastAsia" w:hAnsiTheme="majorEastAsia" w:cstheme="majorEastAsia"/>
          <w:b/>
          <w:sz w:val="24"/>
          <w:szCs w:val="24"/>
        </w:rPr>
      </w:pPr>
      <w:bookmarkStart w:id="31" w:name="_Toc452655144"/>
      <w:r>
        <w:rPr>
          <w:rFonts w:asciiTheme="majorEastAsia" w:eastAsiaTheme="majorEastAsia" w:hAnsiTheme="majorEastAsia" w:cstheme="majorEastAsia" w:hint="eastAsia"/>
          <w:b/>
          <w:sz w:val="24"/>
          <w:szCs w:val="24"/>
        </w:rPr>
        <w:t>3.1.6.1  评分结果</w:t>
      </w:r>
      <w:bookmarkEnd w:id="31"/>
    </w:p>
    <w:p w:rsidR="000B4904" w:rsidRDefault="007F7784">
      <w:pPr>
        <w:adjustRightInd w:val="0"/>
        <w:snapToGrid w:val="0"/>
        <w:spacing w:line="360" w:lineRule="auto"/>
        <w:ind w:firstLineChars="200" w:firstLine="480"/>
        <w:rPr>
          <w:rFonts w:asciiTheme="majorEastAsia" w:eastAsiaTheme="majorEastAsia" w:hAnsiTheme="majorEastAsia" w:cstheme="majorEastAsia"/>
          <w:b/>
          <w:sz w:val="24"/>
          <w:szCs w:val="24"/>
        </w:rPr>
      </w:pPr>
      <w:r>
        <w:rPr>
          <w:rFonts w:asciiTheme="majorEastAsia" w:eastAsiaTheme="majorEastAsia" w:hAnsiTheme="majorEastAsia" w:cstheme="majorEastAsia" w:hint="eastAsia"/>
          <w:sz w:val="24"/>
          <w:szCs w:val="24"/>
        </w:rPr>
        <w:t>采取定性和定量相结合的方法。自评得分如下：</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8"/>
        <w:gridCol w:w="1628"/>
        <w:gridCol w:w="1627"/>
        <w:gridCol w:w="1629"/>
        <w:gridCol w:w="2016"/>
      </w:tblGrid>
      <w:tr w:rsidR="000B4904">
        <w:trPr>
          <w:trHeight w:hRule="exact" w:val="522"/>
          <w:jc w:val="center"/>
        </w:trPr>
        <w:tc>
          <w:tcPr>
            <w:tcW w:w="1628" w:type="dxa"/>
            <w:vAlign w:val="center"/>
          </w:tcPr>
          <w:p w:rsidR="000B4904" w:rsidRDefault="007F7784">
            <w:pPr>
              <w:widowControl/>
              <w:adjustRightInd w:val="0"/>
              <w:snapToGrid w:val="0"/>
              <w:spacing w:line="360" w:lineRule="auto"/>
              <w:jc w:val="center"/>
              <w:rPr>
                <w:rFonts w:asciiTheme="majorEastAsia" w:eastAsiaTheme="majorEastAsia" w:hAnsiTheme="majorEastAsia" w:cstheme="majorEastAsia"/>
                <w:b/>
                <w:color w:val="000000"/>
                <w:kern w:val="0"/>
                <w:sz w:val="24"/>
                <w:szCs w:val="24"/>
              </w:rPr>
            </w:pPr>
            <w:r>
              <w:rPr>
                <w:rFonts w:asciiTheme="majorEastAsia" w:eastAsiaTheme="majorEastAsia" w:hAnsiTheme="majorEastAsia" w:cstheme="majorEastAsia" w:hint="eastAsia"/>
                <w:b/>
                <w:color w:val="000000"/>
                <w:kern w:val="0"/>
                <w:sz w:val="24"/>
                <w:szCs w:val="24"/>
              </w:rPr>
              <w:t>评价指标</w:t>
            </w:r>
          </w:p>
        </w:tc>
        <w:tc>
          <w:tcPr>
            <w:tcW w:w="1628" w:type="dxa"/>
            <w:vAlign w:val="center"/>
          </w:tcPr>
          <w:p w:rsidR="000B4904" w:rsidRDefault="007F7784">
            <w:pPr>
              <w:widowControl/>
              <w:adjustRightInd w:val="0"/>
              <w:snapToGrid w:val="0"/>
              <w:spacing w:line="360" w:lineRule="auto"/>
              <w:jc w:val="center"/>
              <w:rPr>
                <w:rFonts w:asciiTheme="majorEastAsia" w:eastAsiaTheme="majorEastAsia" w:hAnsiTheme="majorEastAsia" w:cstheme="majorEastAsia"/>
                <w:b/>
                <w:color w:val="000000"/>
                <w:kern w:val="0"/>
                <w:sz w:val="24"/>
                <w:szCs w:val="24"/>
              </w:rPr>
            </w:pPr>
            <w:r>
              <w:rPr>
                <w:rFonts w:asciiTheme="majorEastAsia" w:eastAsiaTheme="majorEastAsia" w:hAnsiTheme="majorEastAsia" w:cstheme="majorEastAsia" w:hint="eastAsia"/>
                <w:b/>
                <w:color w:val="000000"/>
                <w:kern w:val="0"/>
                <w:sz w:val="24"/>
                <w:szCs w:val="24"/>
              </w:rPr>
              <w:t>权重</w:t>
            </w:r>
          </w:p>
        </w:tc>
        <w:tc>
          <w:tcPr>
            <w:tcW w:w="1627" w:type="dxa"/>
            <w:vAlign w:val="center"/>
          </w:tcPr>
          <w:p w:rsidR="000B4904" w:rsidRDefault="007F7784">
            <w:pPr>
              <w:widowControl/>
              <w:adjustRightInd w:val="0"/>
              <w:snapToGrid w:val="0"/>
              <w:spacing w:line="360" w:lineRule="auto"/>
              <w:jc w:val="center"/>
              <w:rPr>
                <w:rFonts w:asciiTheme="majorEastAsia" w:eastAsiaTheme="majorEastAsia" w:hAnsiTheme="majorEastAsia" w:cstheme="majorEastAsia"/>
                <w:b/>
                <w:color w:val="000000"/>
                <w:kern w:val="0"/>
                <w:sz w:val="24"/>
                <w:szCs w:val="24"/>
              </w:rPr>
            </w:pPr>
            <w:r>
              <w:rPr>
                <w:rFonts w:asciiTheme="majorEastAsia" w:eastAsiaTheme="majorEastAsia" w:hAnsiTheme="majorEastAsia" w:cstheme="majorEastAsia" w:hint="eastAsia"/>
                <w:b/>
                <w:color w:val="000000"/>
                <w:kern w:val="0"/>
                <w:sz w:val="24"/>
                <w:szCs w:val="24"/>
              </w:rPr>
              <w:t>评级分值</w:t>
            </w:r>
          </w:p>
        </w:tc>
        <w:tc>
          <w:tcPr>
            <w:tcW w:w="1629" w:type="dxa"/>
            <w:vAlign w:val="center"/>
          </w:tcPr>
          <w:p w:rsidR="000B4904" w:rsidRDefault="007F7784">
            <w:pPr>
              <w:widowControl/>
              <w:adjustRightInd w:val="0"/>
              <w:snapToGrid w:val="0"/>
              <w:spacing w:line="360" w:lineRule="auto"/>
              <w:jc w:val="center"/>
              <w:rPr>
                <w:rFonts w:asciiTheme="majorEastAsia" w:eastAsiaTheme="majorEastAsia" w:hAnsiTheme="majorEastAsia" w:cstheme="majorEastAsia"/>
                <w:b/>
                <w:color w:val="000000"/>
                <w:kern w:val="0"/>
                <w:sz w:val="24"/>
                <w:szCs w:val="24"/>
              </w:rPr>
            </w:pPr>
            <w:r>
              <w:rPr>
                <w:rFonts w:asciiTheme="majorEastAsia" w:eastAsiaTheme="majorEastAsia" w:hAnsiTheme="majorEastAsia" w:cstheme="majorEastAsia" w:hint="eastAsia"/>
                <w:b/>
                <w:color w:val="000000"/>
                <w:kern w:val="0"/>
                <w:sz w:val="24"/>
                <w:szCs w:val="24"/>
              </w:rPr>
              <w:t>本项目得分</w:t>
            </w:r>
          </w:p>
        </w:tc>
        <w:tc>
          <w:tcPr>
            <w:tcW w:w="2016" w:type="dxa"/>
            <w:vAlign w:val="center"/>
          </w:tcPr>
          <w:p w:rsidR="000B4904" w:rsidRDefault="007F7784">
            <w:pPr>
              <w:widowControl/>
              <w:adjustRightInd w:val="0"/>
              <w:snapToGrid w:val="0"/>
              <w:spacing w:line="360" w:lineRule="auto"/>
              <w:jc w:val="center"/>
              <w:rPr>
                <w:rFonts w:asciiTheme="majorEastAsia" w:eastAsiaTheme="majorEastAsia" w:hAnsiTheme="majorEastAsia" w:cstheme="majorEastAsia"/>
                <w:b/>
                <w:color w:val="000000"/>
                <w:kern w:val="0"/>
                <w:sz w:val="24"/>
                <w:szCs w:val="24"/>
              </w:rPr>
            </w:pPr>
            <w:r>
              <w:rPr>
                <w:rFonts w:asciiTheme="majorEastAsia" w:eastAsiaTheme="majorEastAsia" w:hAnsiTheme="majorEastAsia" w:cstheme="majorEastAsia" w:hint="eastAsia"/>
                <w:b/>
                <w:color w:val="000000"/>
                <w:kern w:val="0"/>
                <w:sz w:val="24"/>
                <w:szCs w:val="24"/>
              </w:rPr>
              <w:t>绩效评价</w:t>
            </w:r>
          </w:p>
        </w:tc>
      </w:tr>
      <w:tr w:rsidR="000B4904">
        <w:trPr>
          <w:trHeight w:hRule="exact" w:val="492"/>
          <w:jc w:val="center"/>
        </w:trPr>
        <w:tc>
          <w:tcPr>
            <w:tcW w:w="1628" w:type="dxa"/>
            <w:vAlign w:val="center"/>
          </w:tcPr>
          <w:p w:rsidR="000B4904" w:rsidRDefault="007F7784">
            <w:pPr>
              <w:widowControl/>
              <w:adjustRightInd w:val="0"/>
              <w:snapToGrid w:val="0"/>
              <w:spacing w:line="360" w:lineRule="auto"/>
              <w:jc w:val="center"/>
              <w:rPr>
                <w:rFonts w:asciiTheme="majorEastAsia" w:eastAsiaTheme="majorEastAsia" w:hAnsiTheme="majorEastAsia" w:cstheme="majorEastAsia"/>
                <w:color w:val="000000"/>
                <w:kern w:val="0"/>
                <w:sz w:val="24"/>
                <w:szCs w:val="24"/>
              </w:rPr>
            </w:pPr>
            <w:r>
              <w:rPr>
                <w:rFonts w:asciiTheme="majorEastAsia" w:eastAsiaTheme="majorEastAsia" w:hAnsiTheme="majorEastAsia" w:cstheme="majorEastAsia" w:hint="eastAsia"/>
                <w:color w:val="000000"/>
                <w:kern w:val="0"/>
                <w:sz w:val="24"/>
                <w:szCs w:val="24"/>
              </w:rPr>
              <w:t>投入</w:t>
            </w:r>
          </w:p>
        </w:tc>
        <w:tc>
          <w:tcPr>
            <w:tcW w:w="1628" w:type="dxa"/>
            <w:vAlign w:val="center"/>
          </w:tcPr>
          <w:p w:rsidR="000B4904" w:rsidRDefault="007F7784">
            <w:pPr>
              <w:widowControl/>
              <w:adjustRightInd w:val="0"/>
              <w:snapToGrid w:val="0"/>
              <w:spacing w:line="360" w:lineRule="auto"/>
              <w:jc w:val="center"/>
              <w:rPr>
                <w:rFonts w:asciiTheme="majorEastAsia" w:eastAsiaTheme="majorEastAsia" w:hAnsiTheme="majorEastAsia" w:cstheme="majorEastAsia"/>
                <w:color w:val="000000"/>
                <w:kern w:val="0"/>
                <w:sz w:val="24"/>
                <w:szCs w:val="24"/>
              </w:rPr>
            </w:pPr>
            <w:r>
              <w:rPr>
                <w:rFonts w:asciiTheme="majorEastAsia" w:eastAsiaTheme="majorEastAsia" w:hAnsiTheme="majorEastAsia" w:cstheme="majorEastAsia" w:hint="eastAsia"/>
                <w:color w:val="000000"/>
                <w:kern w:val="0"/>
                <w:sz w:val="24"/>
                <w:szCs w:val="24"/>
              </w:rPr>
              <w:t>15%</w:t>
            </w:r>
          </w:p>
        </w:tc>
        <w:tc>
          <w:tcPr>
            <w:tcW w:w="1627" w:type="dxa"/>
            <w:vAlign w:val="center"/>
          </w:tcPr>
          <w:p w:rsidR="000B4904" w:rsidRDefault="007F7784">
            <w:pPr>
              <w:widowControl/>
              <w:adjustRightInd w:val="0"/>
              <w:snapToGrid w:val="0"/>
              <w:spacing w:line="360" w:lineRule="auto"/>
              <w:jc w:val="center"/>
              <w:rPr>
                <w:rFonts w:asciiTheme="majorEastAsia" w:eastAsiaTheme="majorEastAsia" w:hAnsiTheme="majorEastAsia" w:cstheme="majorEastAsia"/>
                <w:color w:val="000000"/>
                <w:kern w:val="0"/>
                <w:sz w:val="24"/>
                <w:szCs w:val="24"/>
              </w:rPr>
            </w:pPr>
            <w:r>
              <w:rPr>
                <w:rFonts w:asciiTheme="majorEastAsia" w:eastAsiaTheme="majorEastAsia" w:hAnsiTheme="majorEastAsia" w:cstheme="majorEastAsia" w:hint="eastAsia"/>
                <w:color w:val="000000"/>
                <w:kern w:val="0"/>
                <w:sz w:val="24"/>
                <w:szCs w:val="24"/>
              </w:rPr>
              <w:t>15</w:t>
            </w:r>
          </w:p>
        </w:tc>
        <w:tc>
          <w:tcPr>
            <w:tcW w:w="1629" w:type="dxa"/>
            <w:vAlign w:val="center"/>
          </w:tcPr>
          <w:p w:rsidR="000B4904" w:rsidRDefault="007F7784">
            <w:pPr>
              <w:widowControl/>
              <w:adjustRightInd w:val="0"/>
              <w:snapToGrid w:val="0"/>
              <w:spacing w:line="360" w:lineRule="auto"/>
              <w:jc w:val="center"/>
              <w:rPr>
                <w:rFonts w:asciiTheme="majorEastAsia" w:eastAsiaTheme="majorEastAsia" w:hAnsiTheme="majorEastAsia" w:cstheme="majorEastAsia"/>
                <w:color w:val="000000"/>
                <w:kern w:val="0"/>
                <w:sz w:val="24"/>
                <w:szCs w:val="24"/>
              </w:rPr>
            </w:pPr>
            <w:r>
              <w:rPr>
                <w:rFonts w:asciiTheme="majorEastAsia" w:eastAsiaTheme="majorEastAsia" w:hAnsiTheme="majorEastAsia" w:cstheme="majorEastAsia" w:hint="eastAsia"/>
                <w:color w:val="000000"/>
                <w:kern w:val="0"/>
                <w:sz w:val="24"/>
                <w:szCs w:val="24"/>
              </w:rPr>
              <w:t>5</w:t>
            </w:r>
          </w:p>
        </w:tc>
        <w:tc>
          <w:tcPr>
            <w:tcW w:w="2016" w:type="dxa"/>
            <w:vAlign w:val="center"/>
          </w:tcPr>
          <w:p w:rsidR="000B4904" w:rsidRDefault="007F7784">
            <w:pPr>
              <w:widowControl/>
              <w:adjustRightInd w:val="0"/>
              <w:snapToGrid w:val="0"/>
              <w:spacing w:line="360" w:lineRule="auto"/>
              <w:jc w:val="center"/>
              <w:rPr>
                <w:rFonts w:asciiTheme="majorEastAsia" w:eastAsiaTheme="majorEastAsia" w:hAnsiTheme="majorEastAsia" w:cstheme="majorEastAsia"/>
                <w:color w:val="000000"/>
                <w:kern w:val="0"/>
                <w:sz w:val="24"/>
                <w:szCs w:val="24"/>
              </w:rPr>
            </w:pPr>
            <w:r>
              <w:rPr>
                <w:rFonts w:asciiTheme="majorEastAsia" w:eastAsiaTheme="majorEastAsia" w:hAnsiTheme="majorEastAsia" w:cstheme="majorEastAsia" w:hint="eastAsia"/>
                <w:color w:val="000000"/>
                <w:kern w:val="0"/>
                <w:sz w:val="24"/>
                <w:szCs w:val="24"/>
              </w:rPr>
              <w:t>合理可行</w:t>
            </w:r>
          </w:p>
        </w:tc>
      </w:tr>
      <w:tr w:rsidR="000B4904">
        <w:trPr>
          <w:trHeight w:hRule="exact" w:val="462"/>
          <w:jc w:val="center"/>
        </w:trPr>
        <w:tc>
          <w:tcPr>
            <w:tcW w:w="1628" w:type="dxa"/>
            <w:vAlign w:val="center"/>
          </w:tcPr>
          <w:p w:rsidR="000B4904" w:rsidRDefault="007F7784">
            <w:pPr>
              <w:widowControl/>
              <w:adjustRightInd w:val="0"/>
              <w:snapToGrid w:val="0"/>
              <w:spacing w:line="360" w:lineRule="auto"/>
              <w:jc w:val="center"/>
              <w:rPr>
                <w:rFonts w:asciiTheme="majorEastAsia" w:eastAsiaTheme="majorEastAsia" w:hAnsiTheme="majorEastAsia" w:cstheme="majorEastAsia"/>
                <w:color w:val="000000"/>
                <w:kern w:val="0"/>
                <w:sz w:val="24"/>
                <w:szCs w:val="24"/>
              </w:rPr>
            </w:pPr>
            <w:r>
              <w:rPr>
                <w:rFonts w:asciiTheme="majorEastAsia" w:eastAsiaTheme="majorEastAsia" w:hAnsiTheme="majorEastAsia" w:cstheme="majorEastAsia" w:hint="eastAsia"/>
                <w:color w:val="000000"/>
                <w:kern w:val="0"/>
                <w:sz w:val="24"/>
                <w:szCs w:val="24"/>
              </w:rPr>
              <w:t>过程</w:t>
            </w:r>
          </w:p>
        </w:tc>
        <w:tc>
          <w:tcPr>
            <w:tcW w:w="1628" w:type="dxa"/>
            <w:vAlign w:val="center"/>
          </w:tcPr>
          <w:p w:rsidR="000B4904" w:rsidRDefault="007F7784">
            <w:pPr>
              <w:widowControl/>
              <w:adjustRightInd w:val="0"/>
              <w:snapToGrid w:val="0"/>
              <w:spacing w:line="360" w:lineRule="auto"/>
              <w:jc w:val="center"/>
              <w:rPr>
                <w:rFonts w:asciiTheme="majorEastAsia" w:eastAsiaTheme="majorEastAsia" w:hAnsiTheme="majorEastAsia" w:cstheme="majorEastAsia"/>
                <w:color w:val="000000"/>
                <w:kern w:val="0"/>
                <w:sz w:val="24"/>
                <w:szCs w:val="24"/>
              </w:rPr>
            </w:pPr>
            <w:r>
              <w:rPr>
                <w:rFonts w:asciiTheme="majorEastAsia" w:eastAsiaTheme="majorEastAsia" w:hAnsiTheme="majorEastAsia" w:cstheme="majorEastAsia" w:hint="eastAsia"/>
                <w:color w:val="000000"/>
                <w:kern w:val="0"/>
                <w:sz w:val="24"/>
                <w:szCs w:val="24"/>
              </w:rPr>
              <w:t>30%</w:t>
            </w:r>
          </w:p>
        </w:tc>
        <w:tc>
          <w:tcPr>
            <w:tcW w:w="1627" w:type="dxa"/>
            <w:vAlign w:val="center"/>
          </w:tcPr>
          <w:p w:rsidR="000B4904" w:rsidRDefault="007F7784">
            <w:pPr>
              <w:widowControl/>
              <w:adjustRightInd w:val="0"/>
              <w:snapToGrid w:val="0"/>
              <w:spacing w:line="360" w:lineRule="auto"/>
              <w:jc w:val="center"/>
              <w:rPr>
                <w:rFonts w:asciiTheme="majorEastAsia" w:eastAsiaTheme="majorEastAsia" w:hAnsiTheme="majorEastAsia" w:cstheme="majorEastAsia"/>
                <w:color w:val="000000"/>
                <w:kern w:val="0"/>
                <w:sz w:val="24"/>
                <w:szCs w:val="24"/>
              </w:rPr>
            </w:pPr>
            <w:r>
              <w:rPr>
                <w:rFonts w:asciiTheme="majorEastAsia" w:eastAsiaTheme="majorEastAsia" w:hAnsiTheme="majorEastAsia" w:cstheme="majorEastAsia" w:hint="eastAsia"/>
                <w:color w:val="000000"/>
                <w:kern w:val="0"/>
                <w:sz w:val="24"/>
                <w:szCs w:val="24"/>
              </w:rPr>
              <w:t>30</w:t>
            </w:r>
          </w:p>
        </w:tc>
        <w:tc>
          <w:tcPr>
            <w:tcW w:w="1629" w:type="dxa"/>
            <w:vAlign w:val="center"/>
          </w:tcPr>
          <w:p w:rsidR="000B4904" w:rsidRDefault="007F7784">
            <w:pPr>
              <w:widowControl/>
              <w:adjustRightInd w:val="0"/>
              <w:snapToGrid w:val="0"/>
              <w:spacing w:line="360" w:lineRule="auto"/>
              <w:jc w:val="center"/>
              <w:rPr>
                <w:rFonts w:asciiTheme="majorEastAsia" w:eastAsiaTheme="majorEastAsia" w:hAnsiTheme="majorEastAsia" w:cstheme="majorEastAsia"/>
                <w:color w:val="000000"/>
                <w:kern w:val="0"/>
                <w:sz w:val="24"/>
                <w:szCs w:val="24"/>
              </w:rPr>
            </w:pPr>
            <w:r>
              <w:rPr>
                <w:rFonts w:asciiTheme="majorEastAsia" w:eastAsiaTheme="majorEastAsia" w:hAnsiTheme="majorEastAsia" w:cstheme="majorEastAsia" w:hint="eastAsia"/>
                <w:color w:val="000000"/>
                <w:kern w:val="0"/>
                <w:sz w:val="24"/>
                <w:szCs w:val="24"/>
              </w:rPr>
              <w:t>29</w:t>
            </w:r>
          </w:p>
        </w:tc>
        <w:tc>
          <w:tcPr>
            <w:tcW w:w="2016" w:type="dxa"/>
            <w:vAlign w:val="center"/>
          </w:tcPr>
          <w:p w:rsidR="000B4904" w:rsidRDefault="007F7784">
            <w:pPr>
              <w:widowControl/>
              <w:adjustRightInd w:val="0"/>
              <w:snapToGrid w:val="0"/>
              <w:spacing w:line="360" w:lineRule="auto"/>
              <w:jc w:val="center"/>
              <w:rPr>
                <w:rFonts w:asciiTheme="majorEastAsia" w:eastAsiaTheme="majorEastAsia" w:hAnsiTheme="majorEastAsia" w:cstheme="majorEastAsia"/>
                <w:color w:val="000000"/>
                <w:kern w:val="0"/>
                <w:sz w:val="24"/>
                <w:szCs w:val="24"/>
              </w:rPr>
            </w:pPr>
            <w:r>
              <w:rPr>
                <w:rFonts w:asciiTheme="majorEastAsia" w:eastAsiaTheme="majorEastAsia" w:hAnsiTheme="majorEastAsia" w:cstheme="majorEastAsia" w:hint="eastAsia"/>
                <w:color w:val="000000"/>
                <w:kern w:val="0"/>
                <w:sz w:val="24"/>
                <w:szCs w:val="24"/>
              </w:rPr>
              <w:t>管理高效</w:t>
            </w:r>
          </w:p>
        </w:tc>
      </w:tr>
      <w:tr w:rsidR="000B4904">
        <w:trPr>
          <w:trHeight w:hRule="exact" w:val="462"/>
          <w:jc w:val="center"/>
        </w:trPr>
        <w:tc>
          <w:tcPr>
            <w:tcW w:w="1628" w:type="dxa"/>
            <w:vAlign w:val="center"/>
          </w:tcPr>
          <w:p w:rsidR="000B4904" w:rsidRDefault="007F7784">
            <w:pPr>
              <w:widowControl/>
              <w:adjustRightInd w:val="0"/>
              <w:snapToGrid w:val="0"/>
              <w:spacing w:line="360" w:lineRule="auto"/>
              <w:jc w:val="center"/>
              <w:rPr>
                <w:rFonts w:asciiTheme="majorEastAsia" w:eastAsiaTheme="majorEastAsia" w:hAnsiTheme="majorEastAsia" w:cstheme="majorEastAsia"/>
                <w:color w:val="000000"/>
                <w:kern w:val="0"/>
                <w:sz w:val="24"/>
                <w:szCs w:val="24"/>
              </w:rPr>
            </w:pPr>
            <w:r>
              <w:rPr>
                <w:rFonts w:asciiTheme="majorEastAsia" w:eastAsiaTheme="majorEastAsia" w:hAnsiTheme="majorEastAsia" w:cstheme="majorEastAsia" w:hint="eastAsia"/>
                <w:color w:val="000000"/>
                <w:kern w:val="0"/>
                <w:sz w:val="24"/>
                <w:szCs w:val="24"/>
              </w:rPr>
              <w:t>产出</w:t>
            </w:r>
          </w:p>
        </w:tc>
        <w:tc>
          <w:tcPr>
            <w:tcW w:w="1628" w:type="dxa"/>
            <w:vAlign w:val="center"/>
          </w:tcPr>
          <w:p w:rsidR="000B4904" w:rsidRDefault="007F7784">
            <w:pPr>
              <w:widowControl/>
              <w:adjustRightInd w:val="0"/>
              <w:snapToGrid w:val="0"/>
              <w:spacing w:line="360" w:lineRule="auto"/>
              <w:jc w:val="center"/>
              <w:rPr>
                <w:rFonts w:asciiTheme="majorEastAsia" w:eastAsiaTheme="majorEastAsia" w:hAnsiTheme="majorEastAsia" w:cstheme="majorEastAsia"/>
                <w:color w:val="000000"/>
                <w:kern w:val="0"/>
                <w:sz w:val="24"/>
                <w:szCs w:val="24"/>
              </w:rPr>
            </w:pPr>
            <w:r>
              <w:rPr>
                <w:rFonts w:asciiTheme="majorEastAsia" w:eastAsiaTheme="majorEastAsia" w:hAnsiTheme="majorEastAsia" w:cstheme="majorEastAsia" w:hint="eastAsia"/>
                <w:color w:val="000000"/>
                <w:kern w:val="0"/>
                <w:sz w:val="24"/>
                <w:szCs w:val="24"/>
              </w:rPr>
              <w:t>40%</w:t>
            </w:r>
          </w:p>
        </w:tc>
        <w:tc>
          <w:tcPr>
            <w:tcW w:w="1627" w:type="dxa"/>
            <w:vAlign w:val="center"/>
          </w:tcPr>
          <w:p w:rsidR="000B4904" w:rsidRDefault="007F7784">
            <w:pPr>
              <w:widowControl/>
              <w:adjustRightInd w:val="0"/>
              <w:snapToGrid w:val="0"/>
              <w:spacing w:line="360" w:lineRule="auto"/>
              <w:jc w:val="center"/>
              <w:rPr>
                <w:rFonts w:asciiTheme="majorEastAsia" w:eastAsiaTheme="majorEastAsia" w:hAnsiTheme="majorEastAsia" w:cstheme="majorEastAsia"/>
                <w:color w:val="000000"/>
                <w:kern w:val="0"/>
                <w:sz w:val="24"/>
                <w:szCs w:val="24"/>
              </w:rPr>
            </w:pPr>
            <w:r>
              <w:rPr>
                <w:rFonts w:asciiTheme="majorEastAsia" w:eastAsiaTheme="majorEastAsia" w:hAnsiTheme="majorEastAsia" w:cstheme="majorEastAsia" w:hint="eastAsia"/>
                <w:color w:val="000000"/>
                <w:kern w:val="0"/>
                <w:sz w:val="24"/>
                <w:szCs w:val="24"/>
              </w:rPr>
              <w:t>40</w:t>
            </w:r>
          </w:p>
        </w:tc>
        <w:tc>
          <w:tcPr>
            <w:tcW w:w="1629" w:type="dxa"/>
            <w:vAlign w:val="center"/>
          </w:tcPr>
          <w:p w:rsidR="000B4904" w:rsidRDefault="007F7784">
            <w:pPr>
              <w:widowControl/>
              <w:adjustRightInd w:val="0"/>
              <w:snapToGrid w:val="0"/>
              <w:spacing w:line="360" w:lineRule="auto"/>
              <w:jc w:val="center"/>
              <w:rPr>
                <w:rFonts w:asciiTheme="majorEastAsia" w:eastAsiaTheme="majorEastAsia" w:hAnsiTheme="majorEastAsia" w:cstheme="majorEastAsia"/>
                <w:color w:val="000000"/>
                <w:kern w:val="0"/>
                <w:sz w:val="24"/>
                <w:szCs w:val="24"/>
              </w:rPr>
            </w:pPr>
            <w:r>
              <w:rPr>
                <w:rFonts w:asciiTheme="majorEastAsia" w:eastAsiaTheme="majorEastAsia" w:hAnsiTheme="majorEastAsia" w:cstheme="majorEastAsia" w:hint="eastAsia"/>
                <w:color w:val="000000"/>
                <w:kern w:val="0"/>
                <w:sz w:val="24"/>
                <w:szCs w:val="24"/>
              </w:rPr>
              <w:t>40</w:t>
            </w:r>
          </w:p>
        </w:tc>
        <w:tc>
          <w:tcPr>
            <w:tcW w:w="2016" w:type="dxa"/>
            <w:vAlign w:val="center"/>
          </w:tcPr>
          <w:p w:rsidR="000B4904" w:rsidRDefault="007F7784">
            <w:pPr>
              <w:widowControl/>
              <w:adjustRightInd w:val="0"/>
              <w:snapToGrid w:val="0"/>
              <w:spacing w:line="360" w:lineRule="auto"/>
              <w:jc w:val="center"/>
              <w:rPr>
                <w:rFonts w:asciiTheme="majorEastAsia" w:eastAsiaTheme="majorEastAsia" w:hAnsiTheme="majorEastAsia" w:cstheme="majorEastAsia"/>
                <w:color w:val="000000"/>
                <w:kern w:val="0"/>
                <w:sz w:val="24"/>
                <w:szCs w:val="24"/>
              </w:rPr>
            </w:pPr>
            <w:proofErr w:type="gramStart"/>
            <w:r>
              <w:rPr>
                <w:rFonts w:asciiTheme="majorEastAsia" w:eastAsiaTheme="majorEastAsia" w:hAnsiTheme="majorEastAsia" w:cstheme="majorEastAsia" w:hint="eastAsia"/>
                <w:color w:val="000000"/>
                <w:kern w:val="0"/>
                <w:sz w:val="24"/>
                <w:szCs w:val="24"/>
              </w:rPr>
              <w:t>履</w:t>
            </w:r>
            <w:proofErr w:type="gramEnd"/>
            <w:r>
              <w:rPr>
                <w:rFonts w:asciiTheme="majorEastAsia" w:eastAsiaTheme="majorEastAsia" w:hAnsiTheme="majorEastAsia" w:cstheme="majorEastAsia" w:hint="eastAsia"/>
                <w:color w:val="000000"/>
                <w:kern w:val="0"/>
                <w:sz w:val="24"/>
                <w:szCs w:val="24"/>
              </w:rPr>
              <w:t>职高效</w:t>
            </w:r>
          </w:p>
        </w:tc>
      </w:tr>
      <w:tr w:rsidR="000B4904">
        <w:trPr>
          <w:trHeight w:hRule="exact" w:val="442"/>
          <w:jc w:val="center"/>
        </w:trPr>
        <w:tc>
          <w:tcPr>
            <w:tcW w:w="1628" w:type="dxa"/>
            <w:vAlign w:val="center"/>
          </w:tcPr>
          <w:p w:rsidR="000B4904" w:rsidRDefault="007F7784">
            <w:pPr>
              <w:widowControl/>
              <w:adjustRightInd w:val="0"/>
              <w:snapToGrid w:val="0"/>
              <w:spacing w:line="360" w:lineRule="auto"/>
              <w:jc w:val="center"/>
              <w:rPr>
                <w:rFonts w:asciiTheme="majorEastAsia" w:eastAsiaTheme="majorEastAsia" w:hAnsiTheme="majorEastAsia" w:cstheme="majorEastAsia"/>
                <w:color w:val="000000"/>
                <w:kern w:val="0"/>
                <w:sz w:val="24"/>
                <w:szCs w:val="24"/>
              </w:rPr>
            </w:pPr>
            <w:r>
              <w:rPr>
                <w:rFonts w:asciiTheme="majorEastAsia" w:eastAsiaTheme="majorEastAsia" w:hAnsiTheme="majorEastAsia" w:cstheme="majorEastAsia" w:hint="eastAsia"/>
                <w:color w:val="000000"/>
                <w:kern w:val="0"/>
                <w:sz w:val="24"/>
                <w:szCs w:val="24"/>
              </w:rPr>
              <w:lastRenderedPageBreak/>
              <w:t>效益</w:t>
            </w:r>
          </w:p>
        </w:tc>
        <w:tc>
          <w:tcPr>
            <w:tcW w:w="1628" w:type="dxa"/>
            <w:vAlign w:val="center"/>
          </w:tcPr>
          <w:p w:rsidR="000B4904" w:rsidRDefault="007F7784">
            <w:pPr>
              <w:widowControl/>
              <w:adjustRightInd w:val="0"/>
              <w:snapToGrid w:val="0"/>
              <w:spacing w:line="360" w:lineRule="auto"/>
              <w:jc w:val="center"/>
              <w:rPr>
                <w:rFonts w:asciiTheme="majorEastAsia" w:eastAsiaTheme="majorEastAsia" w:hAnsiTheme="majorEastAsia" w:cstheme="majorEastAsia"/>
                <w:color w:val="000000"/>
                <w:kern w:val="0"/>
                <w:sz w:val="24"/>
                <w:szCs w:val="24"/>
              </w:rPr>
            </w:pPr>
            <w:r>
              <w:rPr>
                <w:rFonts w:asciiTheme="majorEastAsia" w:eastAsiaTheme="majorEastAsia" w:hAnsiTheme="majorEastAsia" w:cstheme="majorEastAsia" w:hint="eastAsia"/>
                <w:color w:val="000000"/>
                <w:kern w:val="0"/>
                <w:sz w:val="24"/>
                <w:szCs w:val="24"/>
              </w:rPr>
              <w:t>15%</w:t>
            </w:r>
          </w:p>
        </w:tc>
        <w:tc>
          <w:tcPr>
            <w:tcW w:w="1627" w:type="dxa"/>
            <w:vAlign w:val="center"/>
          </w:tcPr>
          <w:p w:rsidR="000B4904" w:rsidRDefault="007F7784">
            <w:pPr>
              <w:widowControl/>
              <w:adjustRightInd w:val="0"/>
              <w:snapToGrid w:val="0"/>
              <w:spacing w:line="360" w:lineRule="auto"/>
              <w:jc w:val="center"/>
              <w:rPr>
                <w:rFonts w:asciiTheme="majorEastAsia" w:eastAsiaTheme="majorEastAsia" w:hAnsiTheme="majorEastAsia" w:cstheme="majorEastAsia"/>
                <w:color w:val="000000"/>
                <w:kern w:val="0"/>
                <w:sz w:val="24"/>
                <w:szCs w:val="24"/>
              </w:rPr>
            </w:pPr>
            <w:r>
              <w:rPr>
                <w:rFonts w:asciiTheme="majorEastAsia" w:eastAsiaTheme="majorEastAsia" w:hAnsiTheme="majorEastAsia" w:cstheme="majorEastAsia" w:hint="eastAsia"/>
                <w:color w:val="000000"/>
                <w:kern w:val="0"/>
                <w:sz w:val="24"/>
                <w:szCs w:val="24"/>
              </w:rPr>
              <w:t>15</w:t>
            </w:r>
          </w:p>
        </w:tc>
        <w:tc>
          <w:tcPr>
            <w:tcW w:w="1629" w:type="dxa"/>
            <w:vAlign w:val="center"/>
          </w:tcPr>
          <w:p w:rsidR="000B4904" w:rsidRDefault="007F7784">
            <w:pPr>
              <w:widowControl/>
              <w:adjustRightInd w:val="0"/>
              <w:snapToGrid w:val="0"/>
              <w:spacing w:line="360" w:lineRule="auto"/>
              <w:jc w:val="center"/>
              <w:rPr>
                <w:rFonts w:asciiTheme="majorEastAsia" w:eastAsiaTheme="majorEastAsia" w:hAnsiTheme="majorEastAsia" w:cstheme="majorEastAsia"/>
                <w:color w:val="000000"/>
                <w:kern w:val="0"/>
                <w:sz w:val="24"/>
                <w:szCs w:val="24"/>
              </w:rPr>
            </w:pPr>
            <w:r>
              <w:rPr>
                <w:rFonts w:asciiTheme="majorEastAsia" w:eastAsiaTheme="majorEastAsia" w:hAnsiTheme="majorEastAsia" w:cstheme="majorEastAsia" w:hint="eastAsia"/>
                <w:color w:val="000000"/>
                <w:kern w:val="0"/>
                <w:sz w:val="24"/>
                <w:szCs w:val="24"/>
              </w:rPr>
              <w:t>15</w:t>
            </w:r>
          </w:p>
        </w:tc>
        <w:tc>
          <w:tcPr>
            <w:tcW w:w="2016" w:type="dxa"/>
            <w:vAlign w:val="center"/>
          </w:tcPr>
          <w:p w:rsidR="000B4904" w:rsidRDefault="007F7784">
            <w:pPr>
              <w:widowControl/>
              <w:adjustRightInd w:val="0"/>
              <w:snapToGrid w:val="0"/>
              <w:spacing w:line="360" w:lineRule="auto"/>
              <w:jc w:val="center"/>
              <w:rPr>
                <w:rFonts w:asciiTheme="majorEastAsia" w:eastAsiaTheme="majorEastAsia" w:hAnsiTheme="majorEastAsia" w:cstheme="majorEastAsia"/>
                <w:color w:val="000000"/>
                <w:kern w:val="0"/>
                <w:sz w:val="24"/>
                <w:szCs w:val="24"/>
              </w:rPr>
            </w:pPr>
            <w:r>
              <w:rPr>
                <w:rFonts w:asciiTheme="majorEastAsia" w:eastAsiaTheme="majorEastAsia" w:hAnsiTheme="majorEastAsia" w:cstheme="majorEastAsia" w:hint="eastAsia"/>
                <w:color w:val="000000"/>
                <w:kern w:val="0"/>
                <w:sz w:val="24"/>
                <w:szCs w:val="24"/>
              </w:rPr>
              <w:t>效益满意</w:t>
            </w:r>
          </w:p>
        </w:tc>
      </w:tr>
      <w:tr w:rsidR="000B4904">
        <w:trPr>
          <w:trHeight w:hRule="exact" w:val="557"/>
          <w:jc w:val="center"/>
        </w:trPr>
        <w:tc>
          <w:tcPr>
            <w:tcW w:w="1628" w:type="dxa"/>
            <w:vAlign w:val="center"/>
          </w:tcPr>
          <w:p w:rsidR="000B4904" w:rsidRDefault="007F7784">
            <w:pPr>
              <w:widowControl/>
              <w:adjustRightInd w:val="0"/>
              <w:snapToGrid w:val="0"/>
              <w:spacing w:line="360" w:lineRule="auto"/>
              <w:jc w:val="center"/>
              <w:rPr>
                <w:rFonts w:asciiTheme="majorEastAsia" w:eastAsiaTheme="majorEastAsia" w:hAnsiTheme="majorEastAsia" w:cstheme="majorEastAsia"/>
                <w:color w:val="000000"/>
                <w:kern w:val="0"/>
                <w:sz w:val="24"/>
                <w:szCs w:val="24"/>
              </w:rPr>
            </w:pPr>
            <w:r>
              <w:rPr>
                <w:rFonts w:asciiTheme="majorEastAsia" w:eastAsiaTheme="majorEastAsia" w:hAnsiTheme="majorEastAsia" w:cstheme="majorEastAsia" w:hint="eastAsia"/>
                <w:color w:val="000000"/>
                <w:kern w:val="0"/>
                <w:sz w:val="24"/>
                <w:szCs w:val="24"/>
              </w:rPr>
              <w:t>综合绩效</w:t>
            </w:r>
          </w:p>
        </w:tc>
        <w:tc>
          <w:tcPr>
            <w:tcW w:w="1628" w:type="dxa"/>
            <w:vAlign w:val="center"/>
          </w:tcPr>
          <w:p w:rsidR="000B4904" w:rsidRDefault="007F7784">
            <w:pPr>
              <w:widowControl/>
              <w:adjustRightInd w:val="0"/>
              <w:snapToGrid w:val="0"/>
              <w:spacing w:line="360" w:lineRule="auto"/>
              <w:jc w:val="center"/>
              <w:rPr>
                <w:rFonts w:asciiTheme="majorEastAsia" w:eastAsiaTheme="majorEastAsia" w:hAnsiTheme="majorEastAsia" w:cstheme="majorEastAsia"/>
                <w:color w:val="000000"/>
                <w:kern w:val="0"/>
                <w:sz w:val="24"/>
                <w:szCs w:val="24"/>
              </w:rPr>
            </w:pPr>
            <w:r>
              <w:rPr>
                <w:rFonts w:asciiTheme="majorEastAsia" w:eastAsiaTheme="majorEastAsia" w:hAnsiTheme="majorEastAsia" w:cstheme="majorEastAsia" w:hint="eastAsia"/>
                <w:color w:val="000000"/>
                <w:kern w:val="0"/>
                <w:sz w:val="24"/>
                <w:szCs w:val="24"/>
              </w:rPr>
              <w:t>100%</w:t>
            </w:r>
          </w:p>
        </w:tc>
        <w:tc>
          <w:tcPr>
            <w:tcW w:w="1627" w:type="dxa"/>
            <w:vAlign w:val="center"/>
          </w:tcPr>
          <w:p w:rsidR="000B4904" w:rsidRDefault="007F7784">
            <w:pPr>
              <w:widowControl/>
              <w:adjustRightInd w:val="0"/>
              <w:snapToGrid w:val="0"/>
              <w:spacing w:line="360" w:lineRule="auto"/>
              <w:jc w:val="center"/>
              <w:rPr>
                <w:rFonts w:asciiTheme="majorEastAsia" w:eastAsiaTheme="majorEastAsia" w:hAnsiTheme="majorEastAsia" w:cstheme="majorEastAsia"/>
                <w:color w:val="000000"/>
                <w:kern w:val="0"/>
                <w:sz w:val="24"/>
                <w:szCs w:val="24"/>
              </w:rPr>
            </w:pPr>
            <w:r>
              <w:rPr>
                <w:rFonts w:asciiTheme="majorEastAsia" w:eastAsiaTheme="majorEastAsia" w:hAnsiTheme="majorEastAsia" w:cstheme="majorEastAsia" w:hint="eastAsia"/>
                <w:color w:val="000000"/>
                <w:kern w:val="0"/>
                <w:sz w:val="24"/>
                <w:szCs w:val="24"/>
              </w:rPr>
              <w:t>100</w:t>
            </w:r>
          </w:p>
        </w:tc>
        <w:tc>
          <w:tcPr>
            <w:tcW w:w="1629" w:type="dxa"/>
            <w:vAlign w:val="center"/>
          </w:tcPr>
          <w:p w:rsidR="000B4904" w:rsidRDefault="007F7784">
            <w:pPr>
              <w:widowControl/>
              <w:adjustRightInd w:val="0"/>
              <w:snapToGrid w:val="0"/>
              <w:spacing w:line="360" w:lineRule="auto"/>
              <w:jc w:val="center"/>
              <w:rPr>
                <w:rFonts w:asciiTheme="majorEastAsia" w:eastAsiaTheme="majorEastAsia" w:hAnsiTheme="majorEastAsia" w:cstheme="majorEastAsia"/>
                <w:color w:val="000000"/>
                <w:kern w:val="0"/>
                <w:sz w:val="24"/>
                <w:szCs w:val="24"/>
              </w:rPr>
            </w:pPr>
            <w:r>
              <w:rPr>
                <w:rFonts w:asciiTheme="majorEastAsia" w:eastAsiaTheme="majorEastAsia" w:hAnsiTheme="majorEastAsia" w:cstheme="majorEastAsia" w:hint="eastAsia"/>
                <w:color w:val="000000"/>
                <w:kern w:val="0"/>
                <w:sz w:val="24"/>
                <w:szCs w:val="24"/>
              </w:rPr>
              <w:t>89</w:t>
            </w:r>
          </w:p>
        </w:tc>
        <w:tc>
          <w:tcPr>
            <w:tcW w:w="2016" w:type="dxa"/>
            <w:vAlign w:val="center"/>
          </w:tcPr>
          <w:p w:rsidR="000B4904" w:rsidRDefault="007F7784">
            <w:pPr>
              <w:widowControl/>
              <w:adjustRightInd w:val="0"/>
              <w:snapToGrid w:val="0"/>
              <w:spacing w:line="360" w:lineRule="auto"/>
              <w:jc w:val="center"/>
              <w:rPr>
                <w:rFonts w:asciiTheme="majorEastAsia" w:eastAsiaTheme="majorEastAsia" w:hAnsiTheme="majorEastAsia" w:cstheme="majorEastAsia"/>
                <w:color w:val="000000"/>
                <w:kern w:val="0"/>
                <w:sz w:val="24"/>
                <w:szCs w:val="24"/>
              </w:rPr>
            </w:pPr>
            <w:r>
              <w:rPr>
                <w:rFonts w:asciiTheme="majorEastAsia" w:eastAsiaTheme="majorEastAsia" w:hAnsiTheme="majorEastAsia" w:cstheme="majorEastAsia" w:hint="eastAsia"/>
                <w:color w:val="000000"/>
                <w:kern w:val="0"/>
                <w:sz w:val="24"/>
                <w:szCs w:val="24"/>
              </w:rPr>
              <w:t>优秀</w:t>
            </w:r>
          </w:p>
        </w:tc>
      </w:tr>
    </w:tbl>
    <w:p w:rsidR="000B4904" w:rsidRPr="00C9093A" w:rsidRDefault="007F7784">
      <w:pPr>
        <w:adjustRightInd w:val="0"/>
        <w:snapToGrid w:val="0"/>
        <w:spacing w:line="360" w:lineRule="auto"/>
        <w:ind w:firstLineChars="200" w:firstLine="482"/>
        <w:rPr>
          <w:rFonts w:asciiTheme="majorEastAsia" w:eastAsiaTheme="majorEastAsia" w:hAnsiTheme="majorEastAsia" w:cstheme="majorEastAsia"/>
          <w:b/>
          <w:color w:val="FF0000"/>
          <w:sz w:val="24"/>
          <w:szCs w:val="24"/>
        </w:rPr>
      </w:pPr>
      <w:bookmarkStart w:id="32" w:name="_Toc452655145"/>
      <w:r w:rsidRPr="00C9093A">
        <w:rPr>
          <w:rFonts w:asciiTheme="majorEastAsia" w:eastAsiaTheme="majorEastAsia" w:hAnsiTheme="majorEastAsia" w:cstheme="majorEastAsia" w:hint="eastAsia"/>
          <w:b/>
          <w:color w:val="FF0000"/>
          <w:sz w:val="24"/>
          <w:szCs w:val="24"/>
        </w:rPr>
        <w:t>自评得分</w:t>
      </w:r>
      <w:r w:rsidR="000D7455">
        <w:rPr>
          <w:rFonts w:asciiTheme="majorEastAsia" w:eastAsiaTheme="majorEastAsia" w:hAnsiTheme="majorEastAsia" w:cstheme="majorEastAsia" w:hint="eastAsia"/>
          <w:b/>
          <w:color w:val="FF0000"/>
          <w:sz w:val="24"/>
          <w:szCs w:val="24"/>
        </w:rPr>
        <w:t>93</w:t>
      </w:r>
      <w:r w:rsidRPr="00C9093A">
        <w:rPr>
          <w:rFonts w:asciiTheme="majorEastAsia" w:eastAsiaTheme="majorEastAsia" w:hAnsiTheme="majorEastAsia" w:cstheme="majorEastAsia" w:hint="eastAsia"/>
          <w:b/>
          <w:color w:val="FF0000"/>
          <w:sz w:val="24"/>
          <w:szCs w:val="24"/>
        </w:rPr>
        <w:t>分，评价结果级别：优</w:t>
      </w:r>
    </w:p>
    <w:p w:rsidR="000B4904" w:rsidRDefault="007F7784">
      <w:pPr>
        <w:adjustRightInd w:val="0"/>
        <w:snapToGrid w:val="0"/>
        <w:spacing w:line="360" w:lineRule="auto"/>
        <w:ind w:firstLineChars="200" w:firstLine="482"/>
        <w:rPr>
          <w:rFonts w:asciiTheme="majorEastAsia" w:eastAsiaTheme="majorEastAsia" w:hAnsiTheme="majorEastAsia" w:cstheme="majorEastAsia"/>
          <w:b/>
          <w:sz w:val="24"/>
          <w:szCs w:val="24"/>
        </w:rPr>
      </w:pPr>
      <w:r>
        <w:rPr>
          <w:rFonts w:asciiTheme="majorEastAsia" w:eastAsiaTheme="majorEastAsia" w:hAnsiTheme="majorEastAsia" w:cstheme="majorEastAsia" w:hint="eastAsia"/>
          <w:b/>
          <w:sz w:val="24"/>
          <w:szCs w:val="24"/>
        </w:rPr>
        <w:t>3.1.6.2  主要结论</w:t>
      </w:r>
      <w:bookmarkEnd w:id="32"/>
    </w:p>
    <w:p w:rsidR="000B4904" w:rsidRDefault="007F7784">
      <w:pPr>
        <w:widowControl/>
        <w:adjustRightInd w:val="0"/>
        <w:snapToGrid w:val="0"/>
        <w:spacing w:line="360" w:lineRule="auto"/>
        <w:ind w:firstLineChars="200" w:firstLine="480"/>
        <w:jc w:val="lef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本次</w:t>
      </w:r>
      <w:r w:rsidR="00C9093A">
        <w:rPr>
          <w:rFonts w:asciiTheme="majorEastAsia" w:eastAsiaTheme="majorEastAsia" w:hAnsiTheme="majorEastAsia" w:cstheme="majorEastAsia" w:hint="eastAsia"/>
          <w:sz w:val="24"/>
          <w:szCs w:val="24"/>
        </w:rPr>
        <w:t>随州市统计局</w:t>
      </w:r>
      <w:r>
        <w:rPr>
          <w:rFonts w:asciiTheme="majorEastAsia" w:eastAsiaTheme="majorEastAsia" w:hAnsiTheme="majorEastAsia" w:cstheme="majorEastAsia" w:hint="eastAsia"/>
          <w:sz w:val="24"/>
          <w:szCs w:val="24"/>
        </w:rPr>
        <w:t>部</w:t>
      </w:r>
      <w:proofErr w:type="gramStart"/>
      <w:r>
        <w:rPr>
          <w:rFonts w:asciiTheme="majorEastAsia" w:eastAsiaTheme="majorEastAsia" w:hAnsiTheme="majorEastAsia" w:cstheme="majorEastAsia" w:hint="eastAsia"/>
          <w:sz w:val="24"/>
          <w:szCs w:val="24"/>
        </w:rPr>
        <w:t>门整体</w:t>
      </w:r>
      <w:proofErr w:type="gramEnd"/>
      <w:r>
        <w:rPr>
          <w:rFonts w:asciiTheme="majorEastAsia" w:eastAsiaTheme="majorEastAsia" w:hAnsiTheme="majorEastAsia" w:cstheme="majorEastAsia" w:hint="eastAsia"/>
          <w:sz w:val="24"/>
          <w:szCs w:val="24"/>
        </w:rPr>
        <w:t>支出绩效评价结果级别为“优”。评价结果类型为“A</w:t>
      </w:r>
      <w:r w:rsidR="000D7455">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rPr>
        <w:t>”。项目与目前政策相符。项目立项规范、合理，资金到位及时、使用合</w:t>
      </w:r>
      <w:proofErr w:type="gramStart"/>
      <w:r>
        <w:rPr>
          <w:rFonts w:asciiTheme="majorEastAsia" w:eastAsiaTheme="majorEastAsia" w:hAnsiTheme="majorEastAsia" w:cstheme="majorEastAsia" w:hint="eastAsia"/>
          <w:sz w:val="24"/>
          <w:szCs w:val="24"/>
        </w:rPr>
        <w:t>规</w:t>
      </w:r>
      <w:proofErr w:type="gramEnd"/>
      <w:r>
        <w:rPr>
          <w:rFonts w:asciiTheme="majorEastAsia" w:eastAsiaTheme="majorEastAsia" w:hAnsiTheme="majorEastAsia" w:cstheme="majorEastAsia" w:hint="eastAsia"/>
          <w:sz w:val="24"/>
          <w:szCs w:val="24"/>
        </w:rPr>
        <w:t>、监控有效，工作及财务管理制度健全、执行有效、项目质量可控，项目实际支出没有超预算，领导满意度高，达到了预定的目标。</w:t>
      </w:r>
      <w:bookmarkStart w:id="33" w:name="_Toc452659714"/>
    </w:p>
    <w:bookmarkEnd w:id="29"/>
    <w:bookmarkEnd w:id="33"/>
    <w:p w:rsidR="000B4904" w:rsidRDefault="007F7784">
      <w:pPr>
        <w:pStyle w:val="221"/>
        <w:adjustRightInd w:val="0"/>
        <w:snapToGrid w:val="0"/>
        <w:spacing w:line="360" w:lineRule="auto"/>
        <w:outlineLvl w:val="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3.2  未完成指标的原因以及已完成指标且超出指标目标值30%以上的原因分析</w:t>
      </w:r>
    </w:p>
    <w:p w:rsidR="000B4904" w:rsidRDefault="007F7784">
      <w:pPr>
        <w:pStyle w:val="221"/>
        <w:adjustRightInd w:val="0"/>
        <w:snapToGrid w:val="0"/>
        <w:spacing w:line="360" w:lineRule="auto"/>
        <w:outlineLvl w:val="0"/>
        <w:rPr>
          <w:rFonts w:asciiTheme="majorEastAsia" w:eastAsiaTheme="majorEastAsia" w:hAnsiTheme="majorEastAsia" w:cstheme="majorEastAsia"/>
          <w:kern w:val="2"/>
          <w:sz w:val="24"/>
          <w:szCs w:val="24"/>
        </w:rPr>
      </w:pPr>
      <w:r>
        <w:rPr>
          <w:rFonts w:asciiTheme="majorEastAsia" w:eastAsiaTheme="majorEastAsia" w:hAnsiTheme="majorEastAsia" w:cstheme="majorEastAsia" w:hint="eastAsia"/>
          <w:kern w:val="2"/>
          <w:sz w:val="24"/>
          <w:szCs w:val="24"/>
        </w:rPr>
        <w:t>3.2.1 未完成指标及原因</w:t>
      </w:r>
    </w:p>
    <w:p w:rsidR="000B4904" w:rsidRPr="00E22F16" w:rsidRDefault="007F7784">
      <w:pPr>
        <w:pStyle w:val="221"/>
        <w:adjustRightInd w:val="0"/>
        <w:snapToGrid w:val="0"/>
        <w:spacing w:line="360" w:lineRule="auto"/>
        <w:ind w:firstLine="480"/>
        <w:outlineLvl w:val="0"/>
        <w:rPr>
          <w:rFonts w:asciiTheme="majorEastAsia" w:eastAsiaTheme="majorEastAsia" w:hAnsiTheme="majorEastAsia" w:cstheme="majorEastAsia"/>
          <w:b w:val="0"/>
          <w:bCs w:val="0"/>
          <w:color w:val="000000" w:themeColor="text1"/>
          <w:kern w:val="2"/>
          <w:sz w:val="24"/>
          <w:szCs w:val="24"/>
        </w:rPr>
      </w:pPr>
      <w:r w:rsidRPr="00E22F16">
        <w:rPr>
          <w:rFonts w:asciiTheme="majorEastAsia" w:eastAsiaTheme="majorEastAsia" w:hAnsiTheme="majorEastAsia" w:cstheme="majorEastAsia" w:hint="eastAsia"/>
          <w:b w:val="0"/>
          <w:bCs w:val="0"/>
          <w:color w:val="000000" w:themeColor="text1"/>
          <w:kern w:val="2"/>
          <w:sz w:val="24"/>
          <w:szCs w:val="24"/>
        </w:rPr>
        <w:t>3.2.1.1“三公经费”变动率为</w:t>
      </w:r>
      <w:r w:rsidR="00E22F16" w:rsidRPr="00E22F16">
        <w:rPr>
          <w:rFonts w:asciiTheme="majorEastAsia" w:eastAsiaTheme="majorEastAsia" w:hAnsiTheme="majorEastAsia" w:cstheme="majorEastAsia" w:hint="eastAsia"/>
          <w:b w:val="0"/>
          <w:bCs w:val="0"/>
          <w:color w:val="000000" w:themeColor="text1"/>
          <w:kern w:val="2"/>
          <w:sz w:val="24"/>
          <w:szCs w:val="24"/>
        </w:rPr>
        <w:t>83</w:t>
      </w:r>
      <w:r w:rsidRPr="00E22F16">
        <w:rPr>
          <w:rFonts w:asciiTheme="majorEastAsia" w:eastAsiaTheme="majorEastAsia" w:hAnsiTheme="majorEastAsia" w:cstheme="majorEastAsia" w:hint="eastAsia"/>
          <w:b w:val="0"/>
          <w:bCs w:val="0"/>
          <w:color w:val="000000" w:themeColor="text1"/>
          <w:kern w:val="2"/>
          <w:sz w:val="24"/>
          <w:szCs w:val="24"/>
        </w:rPr>
        <w:t>%，主要是做预算时考虑到公务用车维护费</w:t>
      </w:r>
      <w:r w:rsidR="00E22F16" w:rsidRPr="00E22F16">
        <w:rPr>
          <w:rFonts w:asciiTheme="majorEastAsia" w:eastAsiaTheme="majorEastAsia" w:hAnsiTheme="majorEastAsia" w:cstheme="majorEastAsia" w:hint="eastAsia"/>
          <w:b w:val="0"/>
          <w:bCs w:val="0"/>
          <w:color w:val="000000" w:themeColor="text1"/>
          <w:kern w:val="2"/>
          <w:sz w:val="24"/>
          <w:szCs w:val="24"/>
        </w:rPr>
        <w:t>和购置费</w:t>
      </w:r>
      <w:r w:rsidRPr="00E22F16">
        <w:rPr>
          <w:rFonts w:asciiTheme="majorEastAsia" w:eastAsiaTheme="majorEastAsia" w:hAnsiTheme="majorEastAsia" w:cstheme="majorEastAsia" w:hint="eastAsia"/>
          <w:b w:val="0"/>
          <w:bCs w:val="0"/>
          <w:color w:val="000000" w:themeColor="text1"/>
          <w:kern w:val="2"/>
          <w:sz w:val="24"/>
          <w:szCs w:val="24"/>
        </w:rPr>
        <w:t>比2016年预算</w:t>
      </w:r>
      <w:r w:rsidR="00E22F16" w:rsidRPr="00E22F16">
        <w:rPr>
          <w:rFonts w:asciiTheme="majorEastAsia" w:eastAsiaTheme="majorEastAsia" w:hAnsiTheme="majorEastAsia" w:cstheme="majorEastAsia" w:hint="eastAsia"/>
          <w:b w:val="0"/>
          <w:bCs w:val="0"/>
          <w:color w:val="000000" w:themeColor="text1"/>
          <w:kern w:val="2"/>
          <w:sz w:val="24"/>
          <w:szCs w:val="24"/>
        </w:rPr>
        <w:t>减少</w:t>
      </w:r>
      <w:r w:rsidRPr="00E22F16">
        <w:rPr>
          <w:rFonts w:asciiTheme="majorEastAsia" w:eastAsiaTheme="majorEastAsia" w:hAnsiTheme="majorEastAsia" w:cstheme="majorEastAsia" w:hint="eastAsia"/>
          <w:b w:val="0"/>
          <w:bCs w:val="0"/>
          <w:color w:val="000000" w:themeColor="text1"/>
          <w:kern w:val="2"/>
          <w:sz w:val="24"/>
          <w:szCs w:val="24"/>
        </w:rPr>
        <w:t>了</w:t>
      </w:r>
      <w:r w:rsidR="00E22F16" w:rsidRPr="00E22F16">
        <w:rPr>
          <w:rFonts w:asciiTheme="majorEastAsia" w:eastAsiaTheme="majorEastAsia" w:hAnsiTheme="majorEastAsia" w:cstheme="majorEastAsia" w:hint="eastAsia"/>
          <w:b w:val="0"/>
          <w:bCs w:val="0"/>
          <w:color w:val="000000" w:themeColor="text1"/>
          <w:kern w:val="2"/>
          <w:sz w:val="24"/>
          <w:szCs w:val="24"/>
        </w:rPr>
        <w:t>33</w:t>
      </w:r>
      <w:r w:rsidRPr="00E22F16">
        <w:rPr>
          <w:rFonts w:asciiTheme="majorEastAsia" w:eastAsiaTheme="majorEastAsia" w:hAnsiTheme="majorEastAsia" w:cstheme="majorEastAsia" w:hint="eastAsia"/>
          <w:b w:val="0"/>
          <w:bCs w:val="0"/>
          <w:color w:val="000000" w:themeColor="text1"/>
          <w:kern w:val="2"/>
          <w:sz w:val="24"/>
          <w:szCs w:val="24"/>
        </w:rPr>
        <w:t>万元，因公出国（境）增加</w:t>
      </w:r>
      <w:r w:rsidR="00E22F16" w:rsidRPr="00E22F16">
        <w:rPr>
          <w:rFonts w:asciiTheme="majorEastAsia" w:eastAsiaTheme="majorEastAsia" w:hAnsiTheme="majorEastAsia" w:cstheme="majorEastAsia" w:hint="eastAsia"/>
          <w:b w:val="0"/>
          <w:bCs w:val="0"/>
          <w:color w:val="000000" w:themeColor="text1"/>
          <w:kern w:val="2"/>
          <w:sz w:val="24"/>
          <w:szCs w:val="24"/>
        </w:rPr>
        <w:t>3.1</w:t>
      </w:r>
      <w:r w:rsidRPr="00E22F16">
        <w:rPr>
          <w:rFonts w:asciiTheme="majorEastAsia" w:eastAsiaTheme="majorEastAsia" w:hAnsiTheme="majorEastAsia" w:cstheme="majorEastAsia" w:hint="eastAsia"/>
          <w:b w:val="0"/>
          <w:bCs w:val="0"/>
          <w:color w:val="000000" w:themeColor="text1"/>
          <w:kern w:val="2"/>
          <w:sz w:val="24"/>
          <w:szCs w:val="24"/>
        </w:rPr>
        <w:t>万元。</w:t>
      </w:r>
    </w:p>
    <w:p w:rsidR="000B4904" w:rsidRPr="00E22F16" w:rsidRDefault="007F7784">
      <w:pPr>
        <w:pStyle w:val="221"/>
        <w:adjustRightInd w:val="0"/>
        <w:snapToGrid w:val="0"/>
        <w:spacing w:line="360" w:lineRule="auto"/>
        <w:outlineLvl w:val="0"/>
        <w:rPr>
          <w:rFonts w:asciiTheme="majorEastAsia" w:eastAsiaTheme="majorEastAsia" w:hAnsiTheme="majorEastAsia" w:cstheme="majorEastAsia"/>
          <w:color w:val="000000" w:themeColor="text1"/>
          <w:sz w:val="24"/>
          <w:szCs w:val="24"/>
        </w:rPr>
      </w:pPr>
      <w:r w:rsidRPr="00E22F16">
        <w:rPr>
          <w:rFonts w:asciiTheme="majorEastAsia" w:eastAsiaTheme="majorEastAsia" w:hAnsiTheme="majorEastAsia" w:cstheme="majorEastAsia" w:hint="eastAsia"/>
          <w:color w:val="000000" w:themeColor="text1"/>
          <w:sz w:val="24"/>
          <w:szCs w:val="24"/>
        </w:rPr>
        <w:t>3.2.2  已完成指标且超出指标目标值30%以上的原因</w:t>
      </w:r>
    </w:p>
    <w:p w:rsidR="000B4904" w:rsidRPr="00E22F16" w:rsidRDefault="007F7784">
      <w:pPr>
        <w:pStyle w:val="221"/>
        <w:adjustRightInd w:val="0"/>
        <w:snapToGrid w:val="0"/>
        <w:spacing w:line="360" w:lineRule="auto"/>
        <w:ind w:firstLine="480"/>
        <w:outlineLvl w:val="0"/>
        <w:rPr>
          <w:rFonts w:asciiTheme="majorEastAsia" w:eastAsiaTheme="majorEastAsia" w:hAnsiTheme="majorEastAsia" w:cstheme="majorEastAsia"/>
          <w:b w:val="0"/>
          <w:color w:val="000000" w:themeColor="text1"/>
          <w:sz w:val="24"/>
          <w:szCs w:val="24"/>
        </w:rPr>
      </w:pPr>
      <w:r w:rsidRPr="00E22F16">
        <w:rPr>
          <w:rFonts w:asciiTheme="majorEastAsia" w:eastAsiaTheme="majorEastAsia" w:hAnsiTheme="majorEastAsia" w:cstheme="majorEastAsia" w:hint="eastAsia"/>
          <w:b w:val="0"/>
          <w:color w:val="000000" w:themeColor="text1"/>
          <w:sz w:val="24"/>
          <w:szCs w:val="24"/>
        </w:rPr>
        <w:t>3.2.2.</w:t>
      </w:r>
      <w:r w:rsidR="00E22F16" w:rsidRPr="00E22F16">
        <w:rPr>
          <w:rFonts w:asciiTheme="majorEastAsia" w:eastAsiaTheme="majorEastAsia" w:hAnsiTheme="majorEastAsia" w:cstheme="majorEastAsia" w:hint="eastAsia"/>
          <w:b w:val="0"/>
          <w:color w:val="000000" w:themeColor="text1"/>
          <w:sz w:val="24"/>
          <w:szCs w:val="24"/>
        </w:rPr>
        <w:t>1</w:t>
      </w:r>
      <w:r w:rsidRPr="00E22F16">
        <w:rPr>
          <w:rFonts w:asciiTheme="majorEastAsia" w:eastAsiaTheme="majorEastAsia" w:hAnsiTheme="majorEastAsia" w:cstheme="majorEastAsia" w:hint="eastAsia"/>
          <w:b w:val="0"/>
          <w:color w:val="000000" w:themeColor="text1"/>
          <w:sz w:val="24"/>
          <w:szCs w:val="24"/>
        </w:rPr>
        <w:t>重点支出安排率</w:t>
      </w:r>
      <w:r w:rsidR="00E22F16" w:rsidRPr="00E22F16">
        <w:rPr>
          <w:rFonts w:asciiTheme="majorEastAsia" w:eastAsiaTheme="majorEastAsia" w:hAnsiTheme="majorEastAsia" w:cstheme="majorEastAsia" w:hint="eastAsia"/>
          <w:b w:val="0"/>
          <w:color w:val="000000" w:themeColor="text1"/>
          <w:sz w:val="24"/>
          <w:szCs w:val="24"/>
        </w:rPr>
        <w:t>29</w:t>
      </w:r>
      <w:r w:rsidRPr="00E22F16">
        <w:rPr>
          <w:rFonts w:asciiTheme="majorEastAsia" w:eastAsiaTheme="majorEastAsia" w:hAnsiTheme="majorEastAsia" w:cstheme="majorEastAsia" w:hint="eastAsia"/>
          <w:b w:val="0"/>
          <w:color w:val="000000" w:themeColor="text1"/>
          <w:sz w:val="24"/>
          <w:szCs w:val="24"/>
        </w:rPr>
        <w:t>%，主要是小项目多，造成重点支出占比不大。</w:t>
      </w:r>
    </w:p>
    <w:p w:rsidR="000B4904" w:rsidRPr="00E22F16" w:rsidRDefault="007F7784">
      <w:pPr>
        <w:pStyle w:val="221"/>
        <w:adjustRightInd w:val="0"/>
        <w:snapToGrid w:val="0"/>
        <w:spacing w:line="360" w:lineRule="auto"/>
        <w:ind w:firstLine="480"/>
        <w:outlineLvl w:val="0"/>
        <w:rPr>
          <w:rFonts w:asciiTheme="majorEastAsia" w:eastAsiaTheme="majorEastAsia" w:hAnsiTheme="majorEastAsia" w:cstheme="majorEastAsia"/>
          <w:b w:val="0"/>
          <w:color w:val="000000" w:themeColor="text1"/>
          <w:sz w:val="24"/>
          <w:szCs w:val="24"/>
        </w:rPr>
      </w:pPr>
      <w:r w:rsidRPr="00E22F16">
        <w:rPr>
          <w:rFonts w:asciiTheme="majorEastAsia" w:eastAsiaTheme="majorEastAsia" w:hAnsiTheme="majorEastAsia" w:cstheme="majorEastAsia" w:hint="eastAsia"/>
          <w:b w:val="0"/>
          <w:color w:val="000000" w:themeColor="text1"/>
          <w:sz w:val="24"/>
          <w:szCs w:val="24"/>
        </w:rPr>
        <w:t>3.2.2.</w:t>
      </w:r>
      <w:r w:rsidR="00E22F16" w:rsidRPr="00E22F16">
        <w:rPr>
          <w:rFonts w:asciiTheme="majorEastAsia" w:eastAsiaTheme="majorEastAsia" w:hAnsiTheme="majorEastAsia" w:cstheme="majorEastAsia" w:hint="eastAsia"/>
          <w:b w:val="0"/>
          <w:color w:val="000000" w:themeColor="text1"/>
          <w:sz w:val="24"/>
          <w:szCs w:val="24"/>
        </w:rPr>
        <w:t>2</w:t>
      </w:r>
      <w:r w:rsidRPr="00E22F16">
        <w:rPr>
          <w:rFonts w:asciiTheme="majorEastAsia" w:eastAsiaTheme="majorEastAsia" w:hAnsiTheme="majorEastAsia" w:cstheme="majorEastAsia" w:hint="eastAsia"/>
          <w:b w:val="0"/>
          <w:color w:val="000000" w:themeColor="text1"/>
          <w:sz w:val="24"/>
          <w:szCs w:val="24"/>
        </w:rPr>
        <w:t>公用经费控制率23%，主要是厉行节约，控制支出。</w:t>
      </w:r>
    </w:p>
    <w:p w:rsidR="000B4904" w:rsidRPr="00E22F16" w:rsidRDefault="007F7784">
      <w:pPr>
        <w:pStyle w:val="221"/>
        <w:adjustRightInd w:val="0"/>
        <w:snapToGrid w:val="0"/>
        <w:spacing w:line="360" w:lineRule="auto"/>
        <w:ind w:firstLine="480"/>
        <w:outlineLvl w:val="0"/>
        <w:rPr>
          <w:rFonts w:asciiTheme="majorEastAsia" w:eastAsiaTheme="majorEastAsia" w:hAnsiTheme="majorEastAsia" w:cstheme="majorEastAsia"/>
          <w:color w:val="000000" w:themeColor="text1"/>
          <w:sz w:val="24"/>
          <w:szCs w:val="24"/>
        </w:rPr>
      </w:pPr>
      <w:r w:rsidRPr="00E22F16">
        <w:rPr>
          <w:rFonts w:asciiTheme="majorEastAsia" w:eastAsiaTheme="majorEastAsia" w:hAnsiTheme="majorEastAsia" w:cstheme="majorEastAsia" w:hint="eastAsia"/>
          <w:b w:val="0"/>
          <w:color w:val="000000" w:themeColor="text1"/>
          <w:sz w:val="24"/>
          <w:szCs w:val="24"/>
        </w:rPr>
        <w:t>3.2.2.</w:t>
      </w:r>
      <w:r w:rsidR="00E22F16" w:rsidRPr="00E22F16">
        <w:rPr>
          <w:rFonts w:asciiTheme="majorEastAsia" w:eastAsiaTheme="majorEastAsia" w:hAnsiTheme="majorEastAsia" w:cstheme="majorEastAsia" w:hint="eastAsia"/>
          <w:b w:val="0"/>
          <w:color w:val="000000" w:themeColor="text1"/>
          <w:sz w:val="24"/>
          <w:szCs w:val="24"/>
        </w:rPr>
        <w:t>3</w:t>
      </w:r>
      <w:r w:rsidRPr="00E22F16">
        <w:rPr>
          <w:rFonts w:asciiTheme="majorEastAsia" w:eastAsiaTheme="majorEastAsia" w:hAnsiTheme="majorEastAsia" w:cstheme="majorEastAsia" w:hint="eastAsia"/>
          <w:b w:val="0"/>
          <w:color w:val="000000" w:themeColor="text1"/>
          <w:sz w:val="24"/>
          <w:szCs w:val="24"/>
        </w:rPr>
        <w:t>“三公经费”控制率</w:t>
      </w:r>
      <w:r w:rsidR="00E22F16" w:rsidRPr="00E22F16">
        <w:rPr>
          <w:rFonts w:asciiTheme="majorEastAsia" w:eastAsiaTheme="majorEastAsia" w:hAnsiTheme="majorEastAsia" w:cstheme="majorEastAsia" w:hint="eastAsia"/>
          <w:b w:val="0"/>
          <w:color w:val="000000" w:themeColor="text1"/>
          <w:sz w:val="24"/>
          <w:szCs w:val="24"/>
        </w:rPr>
        <w:t>60</w:t>
      </w:r>
      <w:r w:rsidRPr="00E22F16">
        <w:rPr>
          <w:rFonts w:asciiTheme="majorEastAsia" w:eastAsiaTheme="majorEastAsia" w:hAnsiTheme="majorEastAsia" w:cstheme="majorEastAsia" w:hint="eastAsia"/>
          <w:b w:val="0"/>
          <w:color w:val="000000" w:themeColor="text1"/>
          <w:sz w:val="24"/>
          <w:szCs w:val="24"/>
        </w:rPr>
        <w:t>%，主要是公务用车维护费降低和没有发生因公出国（境）费用。</w:t>
      </w:r>
    </w:p>
    <w:p w:rsidR="000B4904" w:rsidRDefault="007F7784">
      <w:pPr>
        <w:pStyle w:val="221"/>
        <w:adjustRightInd w:val="0"/>
        <w:snapToGrid w:val="0"/>
        <w:spacing w:line="360" w:lineRule="auto"/>
        <w:outlineLvl w:val="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3.3  绩效指标数据来源及获取方式</w:t>
      </w:r>
    </w:p>
    <w:p w:rsidR="000B4904" w:rsidRDefault="007F7784">
      <w:pPr>
        <w:pStyle w:val="221"/>
        <w:adjustRightInd w:val="0"/>
        <w:snapToGrid w:val="0"/>
        <w:spacing w:line="360" w:lineRule="auto"/>
        <w:ind w:firstLine="480"/>
        <w:outlineLvl w:val="0"/>
        <w:rPr>
          <w:rFonts w:asciiTheme="majorEastAsia" w:eastAsiaTheme="majorEastAsia" w:hAnsiTheme="majorEastAsia" w:cstheme="majorEastAsia"/>
          <w:b w:val="0"/>
          <w:bCs w:val="0"/>
          <w:sz w:val="24"/>
          <w:szCs w:val="24"/>
        </w:rPr>
      </w:pPr>
      <w:r>
        <w:rPr>
          <w:rFonts w:asciiTheme="majorEastAsia" w:eastAsiaTheme="majorEastAsia" w:hAnsiTheme="majorEastAsia" w:cstheme="majorEastAsia" w:hint="eastAsia"/>
          <w:b w:val="0"/>
          <w:bCs w:val="0"/>
          <w:sz w:val="24"/>
          <w:szCs w:val="24"/>
        </w:rPr>
        <w:t>3.3.1  2016年度、2017年度部门预决算汇总报表；</w:t>
      </w:r>
    </w:p>
    <w:p w:rsidR="000B4904" w:rsidRDefault="007F7784">
      <w:pPr>
        <w:pStyle w:val="221"/>
        <w:adjustRightInd w:val="0"/>
        <w:snapToGrid w:val="0"/>
        <w:spacing w:line="360" w:lineRule="auto"/>
        <w:ind w:firstLine="480"/>
        <w:outlineLvl w:val="0"/>
        <w:rPr>
          <w:rFonts w:asciiTheme="majorEastAsia" w:eastAsiaTheme="majorEastAsia" w:hAnsiTheme="majorEastAsia" w:cstheme="majorEastAsia"/>
          <w:b w:val="0"/>
          <w:bCs w:val="0"/>
          <w:sz w:val="24"/>
          <w:szCs w:val="24"/>
        </w:rPr>
      </w:pPr>
      <w:r>
        <w:rPr>
          <w:rFonts w:asciiTheme="majorEastAsia" w:eastAsiaTheme="majorEastAsia" w:hAnsiTheme="majorEastAsia" w:cstheme="majorEastAsia" w:hint="eastAsia"/>
          <w:b w:val="0"/>
          <w:bCs w:val="0"/>
          <w:sz w:val="24"/>
          <w:szCs w:val="24"/>
        </w:rPr>
        <w:t>3.3.2  单位财务部门提供的各部门预决算报表和财务数据；</w:t>
      </w:r>
    </w:p>
    <w:p w:rsidR="000B4904" w:rsidRDefault="007F7784">
      <w:pPr>
        <w:pStyle w:val="221"/>
        <w:adjustRightInd w:val="0"/>
        <w:snapToGrid w:val="0"/>
        <w:spacing w:line="360" w:lineRule="auto"/>
        <w:ind w:firstLine="480"/>
        <w:outlineLvl w:val="0"/>
        <w:rPr>
          <w:rFonts w:asciiTheme="majorEastAsia" w:eastAsiaTheme="majorEastAsia" w:hAnsiTheme="majorEastAsia" w:cstheme="majorEastAsia"/>
          <w:b w:val="0"/>
          <w:bCs w:val="0"/>
          <w:sz w:val="24"/>
          <w:szCs w:val="24"/>
        </w:rPr>
      </w:pPr>
      <w:r>
        <w:rPr>
          <w:rFonts w:asciiTheme="majorEastAsia" w:eastAsiaTheme="majorEastAsia" w:hAnsiTheme="majorEastAsia" w:cstheme="majorEastAsia" w:hint="eastAsia"/>
          <w:b w:val="0"/>
          <w:bCs w:val="0"/>
          <w:sz w:val="24"/>
          <w:szCs w:val="24"/>
        </w:rPr>
        <w:t>3.3.3  2017年度单位</w:t>
      </w:r>
      <w:proofErr w:type="gramStart"/>
      <w:r>
        <w:rPr>
          <w:rFonts w:asciiTheme="majorEastAsia" w:eastAsiaTheme="majorEastAsia" w:hAnsiTheme="majorEastAsia" w:cstheme="majorEastAsia" w:hint="eastAsia"/>
          <w:b w:val="0"/>
          <w:bCs w:val="0"/>
          <w:sz w:val="24"/>
          <w:szCs w:val="24"/>
        </w:rPr>
        <w:t>业务台</w:t>
      </w:r>
      <w:proofErr w:type="gramEnd"/>
      <w:r>
        <w:rPr>
          <w:rFonts w:asciiTheme="majorEastAsia" w:eastAsiaTheme="majorEastAsia" w:hAnsiTheme="majorEastAsia" w:cstheme="majorEastAsia" w:hint="eastAsia"/>
          <w:b w:val="0"/>
          <w:bCs w:val="0"/>
          <w:sz w:val="24"/>
          <w:szCs w:val="24"/>
        </w:rPr>
        <w:t>账、记录和年度总结报告；</w:t>
      </w:r>
    </w:p>
    <w:p w:rsidR="000B4904" w:rsidRDefault="007F7784">
      <w:pPr>
        <w:pStyle w:val="221"/>
        <w:adjustRightInd w:val="0"/>
        <w:snapToGrid w:val="0"/>
        <w:spacing w:line="360" w:lineRule="auto"/>
        <w:ind w:firstLine="480"/>
        <w:outlineLvl w:val="0"/>
        <w:rPr>
          <w:rFonts w:asciiTheme="majorEastAsia" w:eastAsiaTheme="majorEastAsia" w:hAnsiTheme="majorEastAsia" w:cstheme="majorEastAsia"/>
          <w:b w:val="0"/>
          <w:bCs w:val="0"/>
          <w:sz w:val="24"/>
          <w:szCs w:val="24"/>
        </w:rPr>
      </w:pPr>
      <w:r>
        <w:rPr>
          <w:rFonts w:asciiTheme="majorEastAsia" w:eastAsiaTheme="majorEastAsia" w:hAnsiTheme="majorEastAsia" w:cstheme="majorEastAsia" w:hint="eastAsia"/>
          <w:b w:val="0"/>
          <w:bCs w:val="0"/>
          <w:sz w:val="24"/>
          <w:szCs w:val="24"/>
        </w:rPr>
        <w:t>3.3.4  单位制定的各项管理制度；</w:t>
      </w:r>
    </w:p>
    <w:p w:rsidR="000B4904" w:rsidRDefault="007F7784">
      <w:pPr>
        <w:pStyle w:val="221"/>
        <w:adjustRightInd w:val="0"/>
        <w:snapToGrid w:val="0"/>
        <w:spacing w:line="360" w:lineRule="auto"/>
        <w:ind w:firstLine="480"/>
        <w:outlineLvl w:val="0"/>
        <w:rPr>
          <w:rFonts w:asciiTheme="majorEastAsia" w:eastAsiaTheme="majorEastAsia" w:hAnsiTheme="majorEastAsia" w:cstheme="majorEastAsia"/>
          <w:b w:val="0"/>
          <w:bCs w:val="0"/>
          <w:sz w:val="24"/>
          <w:szCs w:val="24"/>
        </w:rPr>
      </w:pPr>
      <w:r>
        <w:rPr>
          <w:rFonts w:asciiTheme="majorEastAsia" w:eastAsiaTheme="majorEastAsia" w:hAnsiTheme="majorEastAsia" w:cstheme="majorEastAsia" w:hint="eastAsia"/>
          <w:b w:val="0"/>
          <w:bCs w:val="0"/>
          <w:sz w:val="24"/>
          <w:szCs w:val="24"/>
        </w:rPr>
        <w:t>3.3.5  单位上报的部门绩效报告。</w:t>
      </w:r>
    </w:p>
    <w:p w:rsidR="000B4904" w:rsidRDefault="007F7784">
      <w:pPr>
        <w:adjustRightInd w:val="0"/>
        <w:snapToGrid w:val="0"/>
        <w:spacing w:line="360" w:lineRule="auto"/>
        <w:rPr>
          <w:rFonts w:asciiTheme="majorEastAsia" w:eastAsiaTheme="majorEastAsia" w:hAnsiTheme="majorEastAsia" w:cstheme="majorEastAsia"/>
          <w:b/>
          <w:bCs/>
          <w:sz w:val="24"/>
          <w:szCs w:val="24"/>
        </w:rPr>
      </w:pPr>
      <w:r>
        <w:rPr>
          <w:rFonts w:asciiTheme="majorEastAsia" w:eastAsiaTheme="majorEastAsia" w:hAnsiTheme="majorEastAsia" w:cstheme="majorEastAsia" w:hint="eastAsia"/>
          <w:b/>
          <w:bCs/>
          <w:sz w:val="24"/>
          <w:szCs w:val="24"/>
        </w:rPr>
        <w:t>四、下一步工作安排</w:t>
      </w:r>
    </w:p>
    <w:p w:rsidR="000B4904" w:rsidRDefault="007F7784">
      <w:pPr>
        <w:adjustRightInd w:val="0"/>
        <w:snapToGrid w:val="0"/>
        <w:spacing w:line="360" w:lineRule="auto"/>
        <w:rPr>
          <w:rFonts w:asciiTheme="majorEastAsia" w:eastAsiaTheme="majorEastAsia" w:hAnsiTheme="majorEastAsia" w:cstheme="majorEastAsia"/>
          <w:b/>
          <w:bCs/>
          <w:sz w:val="24"/>
          <w:szCs w:val="24"/>
        </w:rPr>
      </w:pPr>
      <w:r>
        <w:rPr>
          <w:rFonts w:asciiTheme="majorEastAsia" w:eastAsiaTheme="majorEastAsia" w:hAnsiTheme="majorEastAsia" w:cstheme="majorEastAsia" w:hint="eastAsia"/>
          <w:b/>
          <w:bCs/>
          <w:sz w:val="24"/>
          <w:szCs w:val="24"/>
        </w:rPr>
        <w:t xml:space="preserve">    4.1  改进下一步工作的措施</w:t>
      </w:r>
    </w:p>
    <w:p w:rsidR="000B4904" w:rsidRDefault="007F7784">
      <w:pPr>
        <w:adjustRightInd w:val="0"/>
        <w:snapToGrid w:val="0"/>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b/>
          <w:bCs/>
          <w:sz w:val="24"/>
          <w:szCs w:val="24"/>
        </w:rPr>
        <w:t xml:space="preserve">    </w:t>
      </w:r>
      <w:r>
        <w:rPr>
          <w:rFonts w:asciiTheme="majorEastAsia" w:eastAsiaTheme="majorEastAsia" w:hAnsiTheme="majorEastAsia" w:cstheme="majorEastAsia" w:hint="eastAsia"/>
          <w:sz w:val="24"/>
          <w:szCs w:val="24"/>
        </w:rPr>
        <w:t>针对2017年度部门绩效评价情况，我们认为绩效自评结果真实、合理、客观，随州市统计局将继续围绕市委市政府中心工作，</w:t>
      </w:r>
      <w:r w:rsidR="005E0446" w:rsidRPr="005E0446">
        <w:rPr>
          <w:rFonts w:asciiTheme="majorEastAsia" w:eastAsiaTheme="majorEastAsia" w:hAnsiTheme="majorEastAsia" w:cstheme="majorEastAsia" w:hint="eastAsia"/>
          <w:sz w:val="24"/>
          <w:szCs w:val="24"/>
        </w:rPr>
        <w:t>贯彻落实中办《深化统计管理体制改革提高统计数据真实性》和省办《实施意见》作为重点工作，持续推进，扎实推进统计管理体制改革的各项任务落实到位。</w:t>
      </w:r>
      <w:r w:rsidR="002E7A33" w:rsidRPr="002E7A33">
        <w:rPr>
          <w:rFonts w:asciiTheme="majorEastAsia" w:eastAsiaTheme="majorEastAsia" w:hAnsiTheme="majorEastAsia" w:cstheme="majorEastAsia" w:hint="eastAsia"/>
          <w:sz w:val="24"/>
          <w:szCs w:val="24"/>
        </w:rPr>
        <w:t>及早谋划我市第四次经济普查工作，</w:t>
      </w:r>
      <w:r w:rsidR="005E0446" w:rsidRPr="005E0446">
        <w:rPr>
          <w:rFonts w:asciiTheme="majorEastAsia" w:eastAsiaTheme="majorEastAsia" w:hAnsiTheme="majorEastAsia" w:cstheme="majorEastAsia" w:hint="eastAsia"/>
          <w:sz w:val="24"/>
          <w:szCs w:val="24"/>
        </w:rPr>
        <w:t>持续加大统计普法力度，深入宣传贯彻《中华人民共和国统计法实施条例》，进一步拓宽统计普法渠道；</w:t>
      </w:r>
      <w:r w:rsidR="005E0446" w:rsidRPr="005E0446">
        <w:rPr>
          <w:rFonts w:asciiTheme="majorEastAsia" w:eastAsiaTheme="majorEastAsia" w:hAnsiTheme="majorEastAsia" w:cstheme="majorEastAsia" w:hint="eastAsia"/>
          <w:sz w:val="24"/>
          <w:szCs w:val="24"/>
        </w:rPr>
        <w:lastRenderedPageBreak/>
        <w:t>加大统计执法检查力度，严格统计核查和统计执法检查，严肃查处各类统计违法案件。</w:t>
      </w:r>
    </w:p>
    <w:p w:rsidR="000B4904" w:rsidRDefault="007F7784">
      <w:pPr>
        <w:adjustRightInd w:val="0"/>
        <w:snapToGrid w:val="0"/>
        <w:spacing w:line="360" w:lineRule="auto"/>
        <w:ind w:firstLineChars="200" w:firstLine="482"/>
        <w:rPr>
          <w:rFonts w:asciiTheme="majorEastAsia" w:eastAsiaTheme="majorEastAsia" w:hAnsiTheme="majorEastAsia" w:cstheme="majorEastAsia"/>
          <w:b/>
          <w:bCs/>
          <w:sz w:val="24"/>
          <w:szCs w:val="24"/>
        </w:rPr>
      </w:pPr>
      <w:r>
        <w:rPr>
          <w:rFonts w:asciiTheme="majorEastAsia" w:eastAsiaTheme="majorEastAsia" w:hAnsiTheme="majorEastAsia" w:cstheme="majorEastAsia" w:hint="eastAsia"/>
          <w:b/>
          <w:bCs/>
          <w:sz w:val="24"/>
          <w:szCs w:val="24"/>
        </w:rPr>
        <w:t>4.2 分析绩效指标是否存在简单易达的问题，对以后年度绩效目标和指标体系提出改进建议</w:t>
      </w:r>
    </w:p>
    <w:p w:rsidR="000B4904" w:rsidRDefault="007F7784">
      <w:pPr>
        <w:adjustRightInd w:val="0"/>
        <w:snapToGrid w:val="0"/>
        <w:spacing w:line="360" w:lineRule="auto"/>
        <w:ind w:firstLineChars="200" w:firstLine="480"/>
        <w:rPr>
          <w:rFonts w:ascii="Times New Roman" w:hAnsi="Times New Roman"/>
          <w:szCs w:val="32"/>
        </w:rPr>
      </w:pPr>
      <w:r>
        <w:rPr>
          <w:rFonts w:asciiTheme="majorEastAsia" w:eastAsiaTheme="majorEastAsia" w:hAnsiTheme="majorEastAsia" w:cstheme="majorEastAsia" w:hint="eastAsia"/>
          <w:sz w:val="24"/>
          <w:szCs w:val="24"/>
        </w:rPr>
        <w:t>此次绩效评价在指标体系设计上共分为三个维度。其中，一级指标4个，分别为投入、过程、产出、效益；二级指标6个，分别为目标设定、预算配置、预算执行、预算管理、资产管理、职责履行、履职效益；三级指标21个。从结构框架和实际绩效评价小组意见，我们认为每项指标均经过合理论证，不存在简单易达的问题。以后根据部门实际情况，适时调整评价指标，建立更加合理有效的评价指标体系。</w:t>
      </w:r>
    </w:p>
    <w:p w:rsidR="000B4904" w:rsidRDefault="007F7784">
      <w:pPr>
        <w:adjustRightInd w:val="0"/>
        <w:snapToGrid w:val="0"/>
        <w:spacing w:line="360" w:lineRule="auto"/>
        <w:ind w:firstLineChars="200" w:firstLine="482"/>
        <w:rPr>
          <w:rFonts w:asciiTheme="majorEastAsia" w:eastAsiaTheme="majorEastAsia" w:hAnsiTheme="majorEastAsia" w:cstheme="majorEastAsia"/>
          <w:b/>
          <w:bCs/>
          <w:sz w:val="24"/>
          <w:szCs w:val="24"/>
        </w:rPr>
      </w:pPr>
      <w:r>
        <w:rPr>
          <w:rFonts w:asciiTheme="majorEastAsia" w:eastAsiaTheme="majorEastAsia" w:hAnsiTheme="majorEastAsia" w:cstheme="majorEastAsia" w:hint="eastAsia"/>
          <w:b/>
          <w:bCs/>
          <w:sz w:val="24"/>
          <w:szCs w:val="24"/>
        </w:rPr>
        <w:t>附：2018年市直部门整体支出绩效自评表</w:t>
      </w:r>
    </w:p>
    <w:p w:rsidR="000B4904" w:rsidRDefault="000B4904">
      <w:pPr>
        <w:adjustRightInd w:val="0"/>
        <w:snapToGrid w:val="0"/>
        <w:spacing w:line="360" w:lineRule="auto"/>
        <w:ind w:firstLineChars="200" w:firstLine="480"/>
        <w:rPr>
          <w:rFonts w:asciiTheme="majorEastAsia" w:eastAsiaTheme="majorEastAsia" w:hAnsiTheme="majorEastAsia" w:cstheme="majorEastAsia"/>
          <w:sz w:val="24"/>
          <w:szCs w:val="24"/>
        </w:rPr>
      </w:pPr>
    </w:p>
    <w:sectPr w:rsidR="000B4904" w:rsidSect="000B4904">
      <w:footerReference w:type="default" r:id="rId8"/>
      <w:pgSz w:w="11906" w:h="16838"/>
      <w:pgMar w:top="1418" w:right="1418" w:bottom="1134" w:left="1418" w:header="851" w:footer="992" w:gutter="0"/>
      <w:cols w:space="425"/>
      <w:docGrid w:type="lines" w:linePitch="63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904" w:rsidRDefault="000B4904" w:rsidP="000B4904">
      <w:r>
        <w:separator/>
      </w:r>
    </w:p>
  </w:endnote>
  <w:endnote w:type="continuationSeparator" w:id="0">
    <w:p w:rsidR="000B4904" w:rsidRDefault="000B4904" w:rsidP="000B49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904" w:rsidRDefault="00CA53F4">
    <w:pPr>
      <w:pStyle w:val="a4"/>
    </w:pPr>
    <w:r>
      <w:pict>
        <v:shapetype id="_x0000_t202" coordsize="21600,21600" o:spt="202" path="m,l,21600r21600,l21600,xe">
          <v:stroke joinstyle="miter"/>
          <v:path gradientshapeok="t" o:connecttype="rect"/>
        </v:shapetype>
        <v:shape id="_x0000_s4097" type="#_x0000_t202" style="position:absolute;margin-left:0;margin-top:0;width:2in;height:2in;z-index:251658240;mso-wrap-style:none;mso-position-horizontal:center;mso-position-horizontal-relative:margin;mso-width-relative:page;mso-height-relative:page" filled="f" stroked="f">
          <v:textbox style="mso-fit-shape-to-text:t" inset="0,0,0,0">
            <w:txbxContent>
              <w:p w:rsidR="000B4904" w:rsidRDefault="00CA53F4">
                <w:pPr>
                  <w:pStyle w:val="a4"/>
                </w:pPr>
                <w:r>
                  <w:rPr>
                    <w:rFonts w:hint="eastAsia"/>
                  </w:rPr>
                  <w:fldChar w:fldCharType="begin"/>
                </w:r>
                <w:r w:rsidR="007F7784">
                  <w:rPr>
                    <w:rFonts w:hint="eastAsia"/>
                  </w:rPr>
                  <w:instrText xml:space="preserve"> PAGE  \* MERGEFORMAT </w:instrText>
                </w:r>
                <w:r>
                  <w:rPr>
                    <w:rFonts w:hint="eastAsia"/>
                  </w:rPr>
                  <w:fldChar w:fldCharType="separate"/>
                </w:r>
                <w:r w:rsidR="004E4596">
                  <w:rPr>
                    <w:noProof/>
                  </w:rPr>
                  <w:t>3</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904" w:rsidRDefault="000B4904" w:rsidP="000B4904">
      <w:r>
        <w:separator/>
      </w:r>
    </w:p>
  </w:footnote>
  <w:footnote w:type="continuationSeparator" w:id="0">
    <w:p w:rsidR="000B4904" w:rsidRDefault="000B4904" w:rsidP="000B49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5670FF"/>
    <w:multiLevelType w:val="singleLevel"/>
    <w:tmpl w:val="655670FF"/>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bordersDoNotSurroundHeader/>
  <w:bordersDoNotSurroundFooter/>
  <w:proofState w:spelling="clean" w:grammar="clean"/>
  <w:defaultTabStop w:val="420"/>
  <w:drawingGridVerticalSpacing w:val="318"/>
  <w:displayHorizontalDrawingGridEvery w:val="0"/>
  <w:displayVerticalDrawingGridEvery w:val="2"/>
  <w:characterSpacingControl w:val="compressPunctuation"/>
  <w:noLineBreaksAfter w:lang="zh-CN" w:val="$([{£¥·‘“〈《「『【〔〖〝﹙﹛﹝＄（．［｛￡￥"/>
  <w:noLineBreaksBefore w:lang="zh-CN" w:val="!%),.:;&gt;?]}¢¨°·ˇˉ―‖’”…‰′″›℃∶、。〃〉》」』】〕〗〞︶︺︾﹀﹄﹚﹜﹞！＂％＇），．：；？］｀｜｝～￠"/>
  <w:hdrShapeDefaults>
    <o:shapedefaults v:ext="edit" spidmax="5122"/>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04347"/>
    <w:rsid w:val="00020919"/>
    <w:rsid w:val="000252B2"/>
    <w:rsid w:val="00031CBC"/>
    <w:rsid w:val="00050D7E"/>
    <w:rsid w:val="00081EA6"/>
    <w:rsid w:val="000B4904"/>
    <w:rsid w:val="000C6CCC"/>
    <w:rsid w:val="000D7455"/>
    <w:rsid w:val="000E6F8A"/>
    <w:rsid w:val="000F3B6E"/>
    <w:rsid w:val="00106348"/>
    <w:rsid w:val="00107431"/>
    <w:rsid w:val="00123269"/>
    <w:rsid w:val="00147069"/>
    <w:rsid w:val="00163D31"/>
    <w:rsid w:val="001B161A"/>
    <w:rsid w:val="001C04F0"/>
    <w:rsid w:val="001F47C8"/>
    <w:rsid w:val="00206F6A"/>
    <w:rsid w:val="00247DC7"/>
    <w:rsid w:val="002573EB"/>
    <w:rsid w:val="00257DEB"/>
    <w:rsid w:val="00294046"/>
    <w:rsid w:val="002D7A42"/>
    <w:rsid w:val="002E7A33"/>
    <w:rsid w:val="00303120"/>
    <w:rsid w:val="003137AC"/>
    <w:rsid w:val="003706A4"/>
    <w:rsid w:val="0037365A"/>
    <w:rsid w:val="00375EE1"/>
    <w:rsid w:val="003811E6"/>
    <w:rsid w:val="00381205"/>
    <w:rsid w:val="00421681"/>
    <w:rsid w:val="00444586"/>
    <w:rsid w:val="00446B61"/>
    <w:rsid w:val="004618F7"/>
    <w:rsid w:val="004964E6"/>
    <w:rsid w:val="00497A7E"/>
    <w:rsid w:val="004B2484"/>
    <w:rsid w:val="004B5E16"/>
    <w:rsid w:val="004E4596"/>
    <w:rsid w:val="00530380"/>
    <w:rsid w:val="005E0446"/>
    <w:rsid w:val="005F5DC0"/>
    <w:rsid w:val="00623E41"/>
    <w:rsid w:val="00674438"/>
    <w:rsid w:val="006A10BD"/>
    <w:rsid w:val="00722254"/>
    <w:rsid w:val="00734778"/>
    <w:rsid w:val="0074311F"/>
    <w:rsid w:val="00747F85"/>
    <w:rsid w:val="00764B7C"/>
    <w:rsid w:val="00776AAC"/>
    <w:rsid w:val="007A5BFA"/>
    <w:rsid w:val="007B57B9"/>
    <w:rsid w:val="007F7784"/>
    <w:rsid w:val="00803785"/>
    <w:rsid w:val="008556B7"/>
    <w:rsid w:val="00865DE3"/>
    <w:rsid w:val="00867A89"/>
    <w:rsid w:val="00893889"/>
    <w:rsid w:val="008C5F50"/>
    <w:rsid w:val="009402AA"/>
    <w:rsid w:val="00941C74"/>
    <w:rsid w:val="00944180"/>
    <w:rsid w:val="009C5AEC"/>
    <w:rsid w:val="009F7C65"/>
    <w:rsid w:val="00A0543D"/>
    <w:rsid w:val="00A12587"/>
    <w:rsid w:val="00A347DA"/>
    <w:rsid w:val="00A45398"/>
    <w:rsid w:val="00A730ED"/>
    <w:rsid w:val="00AE55E7"/>
    <w:rsid w:val="00AF79A0"/>
    <w:rsid w:val="00B52D57"/>
    <w:rsid w:val="00BE02C6"/>
    <w:rsid w:val="00BE3D0D"/>
    <w:rsid w:val="00BF304A"/>
    <w:rsid w:val="00BF7E71"/>
    <w:rsid w:val="00C028AF"/>
    <w:rsid w:val="00C62018"/>
    <w:rsid w:val="00C62B78"/>
    <w:rsid w:val="00C9093A"/>
    <w:rsid w:val="00CA53F4"/>
    <w:rsid w:val="00CB27DC"/>
    <w:rsid w:val="00D026BC"/>
    <w:rsid w:val="00D04347"/>
    <w:rsid w:val="00D41E22"/>
    <w:rsid w:val="00D438A1"/>
    <w:rsid w:val="00D63558"/>
    <w:rsid w:val="00D72093"/>
    <w:rsid w:val="00D84E31"/>
    <w:rsid w:val="00DB626A"/>
    <w:rsid w:val="00DE08EC"/>
    <w:rsid w:val="00E0708B"/>
    <w:rsid w:val="00E14A8F"/>
    <w:rsid w:val="00E22F16"/>
    <w:rsid w:val="00E27E09"/>
    <w:rsid w:val="00E41370"/>
    <w:rsid w:val="00E60D95"/>
    <w:rsid w:val="00EA278E"/>
    <w:rsid w:val="00EB4E40"/>
    <w:rsid w:val="00F07B43"/>
    <w:rsid w:val="00F51E7C"/>
    <w:rsid w:val="00F7208C"/>
    <w:rsid w:val="00FB1EC2"/>
    <w:rsid w:val="00FD5A54"/>
    <w:rsid w:val="00FE61C1"/>
    <w:rsid w:val="00FF60A2"/>
    <w:rsid w:val="0CB2171A"/>
    <w:rsid w:val="0CB864FE"/>
    <w:rsid w:val="16AD73D0"/>
    <w:rsid w:val="1ECF0CF4"/>
    <w:rsid w:val="21167021"/>
    <w:rsid w:val="31181A14"/>
    <w:rsid w:val="32FE5575"/>
    <w:rsid w:val="3A1F6204"/>
    <w:rsid w:val="3BD940DA"/>
    <w:rsid w:val="4410411E"/>
    <w:rsid w:val="4FD213A4"/>
    <w:rsid w:val="55D9737A"/>
    <w:rsid w:val="59B24116"/>
    <w:rsid w:val="61F90A50"/>
    <w:rsid w:val="63751D5A"/>
    <w:rsid w:val="68DE6A4A"/>
    <w:rsid w:val="70403AB5"/>
    <w:rsid w:val="74270B0F"/>
    <w:rsid w:val="76E97701"/>
    <w:rsid w:val="7BF5557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4904"/>
    <w:pPr>
      <w:widowControl w:val="0"/>
      <w:jc w:val="both"/>
    </w:pPr>
    <w:rPr>
      <w:rFonts w:ascii="Calibri" w:eastAsia="仿宋_GB2312" w:hAnsi="Calibri" w:cs="Times New Roman"/>
      <w:kern w:val="2"/>
      <w:sz w:val="32"/>
      <w:szCs w:val="22"/>
    </w:rPr>
  </w:style>
  <w:style w:type="paragraph" w:styleId="1">
    <w:name w:val="heading 1"/>
    <w:basedOn w:val="a"/>
    <w:next w:val="a"/>
    <w:qFormat/>
    <w:locked/>
    <w:rsid w:val="000B4904"/>
    <w:pPr>
      <w:keepNext/>
      <w:keepLines/>
      <w:spacing w:before="340" w:after="330" w:line="578" w:lineRule="auto"/>
      <w:outlineLvl w:val="0"/>
    </w:pPr>
    <w:rPr>
      <w:b/>
      <w:bCs/>
      <w:kern w:val="44"/>
      <w:sz w:val="44"/>
      <w:szCs w:val="44"/>
    </w:rPr>
  </w:style>
  <w:style w:type="paragraph" w:styleId="2">
    <w:name w:val="heading 2"/>
    <w:basedOn w:val="a"/>
    <w:next w:val="a"/>
    <w:qFormat/>
    <w:locked/>
    <w:rsid w:val="000B4904"/>
    <w:pPr>
      <w:widowControl/>
      <w:spacing w:line="560" w:lineRule="exact"/>
      <w:ind w:firstLineChars="200" w:firstLine="200"/>
      <w:outlineLvl w:val="1"/>
    </w:pPr>
    <w:rPr>
      <w:rFonts w:ascii="仿宋_GB2312" w:hAnsi="宋体" w:cs="宋体"/>
      <w:b/>
      <w:bCs/>
      <w:kern w:val="0"/>
      <w:sz w:val="24"/>
    </w:rPr>
  </w:style>
  <w:style w:type="paragraph" w:styleId="3">
    <w:name w:val="heading 3"/>
    <w:basedOn w:val="a"/>
    <w:next w:val="a"/>
    <w:qFormat/>
    <w:locked/>
    <w:rsid w:val="000B4904"/>
    <w:pPr>
      <w:spacing w:line="560" w:lineRule="exact"/>
      <w:ind w:firstLineChars="200" w:firstLine="200"/>
      <w:outlineLvl w:val="2"/>
    </w:pPr>
    <w:rPr>
      <w:rFonts w:ascii="仿宋_GB2312"/>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0B4904"/>
    <w:rPr>
      <w:sz w:val="18"/>
      <w:szCs w:val="18"/>
    </w:rPr>
  </w:style>
  <w:style w:type="paragraph" w:styleId="a4">
    <w:name w:val="footer"/>
    <w:basedOn w:val="a"/>
    <w:link w:val="Char0"/>
    <w:uiPriority w:val="99"/>
    <w:qFormat/>
    <w:rsid w:val="000B4904"/>
    <w:pPr>
      <w:tabs>
        <w:tab w:val="center" w:pos="4153"/>
        <w:tab w:val="right" w:pos="8306"/>
      </w:tabs>
      <w:snapToGrid w:val="0"/>
      <w:jc w:val="left"/>
    </w:pPr>
    <w:rPr>
      <w:sz w:val="18"/>
      <w:szCs w:val="18"/>
    </w:rPr>
  </w:style>
  <w:style w:type="paragraph" w:styleId="a5">
    <w:name w:val="header"/>
    <w:basedOn w:val="a"/>
    <w:link w:val="Char1"/>
    <w:uiPriority w:val="99"/>
    <w:qFormat/>
    <w:rsid w:val="000B4904"/>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locked/>
    <w:rsid w:val="000B4904"/>
    <w:rPr>
      <w:rFonts w:cs="Times New Roman"/>
      <w:sz w:val="18"/>
      <w:szCs w:val="18"/>
    </w:rPr>
  </w:style>
  <w:style w:type="character" w:customStyle="1" w:styleId="Char0">
    <w:name w:val="页脚 Char"/>
    <w:basedOn w:val="a0"/>
    <w:link w:val="a4"/>
    <w:uiPriority w:val="99"/>
    <w:qFormat/>
    <w:locked/>
    <w:rsid w:val="000B4904"/>
    <w:rPr>
      <w:rFonts w:cs="Times New Roman"/>
      <w:sz w:val="18"/>
      <w:szCs w:val="18"/>
    </w:rPr>
  </w:style>
  <w:style w:type="paragraph" w:styleId="a6">
    <w:name w:val="List Paragraph"/>
    <w:basedOn w:val="a"/>
    <w:uiPriority w:val="99"/>
    <w:qFormat/>
    <w:rsid w:val="000B4904"/>
    <w:pPr>
      <w:ind w:firstLineChars="200" w:firstLine="420"/>
    </w:pPr>
  </w:style>
  <w:style w:type="character" w:customStyle="1" w:styleId="Char">
    <w:name w:val="批注框文本 Char"/>
    <w:basedOn w:val="a0"/>
    <w:link w:val="a3"/>
    <w:uiPriority w:val="99"/>
    <w:semiHidden/>
    <w:qFormat/>
    <w:locked/>
    <w:rsid w:val="000B4904"/>
    <w:rPr>
      <w:rFonts w:eastAsia="仿宋_GB2312" w:cs="Times New Roman"/>
      <w:sz w:val="2"/>
    </w:rPr>
  </w:style>
  <w:style w:type="paragraph" w:customStyle="1" w:styleId="221">
    <w:name w:val="样式 标题 2 + 首行缩进:  2 字符1"/>
    <w:basedOn w:val="2"/>
    <w:qFormat/>
    <w:rsid w:val="000B4904"/>
    <w:pPr>
      <w:ind w:firstLine="482"/>
    </w:pPr>
    <w:rPr>
      <w:sz w:val="28"/>
      <w:szCs w:val="20"/>
    </w:rPr>
  </w:style>
  <w:style w:type="paragraph" w:customStyle="1" w:styleId="1GB2312787828">
    <w:name w:val="样式 标题 1 + 仿宋_GB2312 四号 段前: 7.8 磅 段后: 7.8 磅 行距: 固定值 28 磅"/>
    <w:basedOn w:val="1"/>
    <w:qFormat/>
    <w:rsid w:val="000B4904"/>
    <w:pPr>
      <w:spacing w:before="156" w:after="156" w:line="560" w:lineRule="exact"/>
    </w:pPr>
    <w:rPr>
      <w:rFonts w:ascii="仿宋_GB2312" w:cs="宋体"/>
      <w:sz w:val="28"/>
      <w:szCs w:val="20"/>
    </w:rPr>
  </w:style>
  <w:style w:type="table" w:customStyle="1" w:styleId="TableGrid">
    <w:name w:val="TableGrid"/>
    <w:qFormat/>
    <w:rsid w:val="000B4904"/>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10</Pages>
  <Words>6546</Words>
  <Characters>1359</Characters>
  <Application>Microsoft Office Word</Application>
  <DocSecurity>0</DocSecurity>
  <Lines>11</Lines>
  <Paragraphs>15</Paragraphs>
  <ScaleCrop>false</ScaleCrop>
  <Company>Microsoft</Company>
  <LinksUpToDate>false</LinksUpToDate>
  <CharactersWithSpaces>7890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冯妍妍/预算绩效管理处（行资处）/湖北省财政厅</dc:creator>
  <cp:lastModifiedBy>admin</cp:lastModifiedBy>
  <cp:revision>31</cp:revision>
  <cp:lastPrinted>2018-08-07T08:14:00Z</cp:lastPrinted>
  <dcterms:created xsi:type="dcterms:W3CDTF">2018-03-28T03:03:00Z</dcterms:created>
  <dcterms:modified xsi:type="dcterms:W3CDTF">2018-10-08T22:23:00Z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