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30"/>
        <w:keepNext w:val="false"/>
        <w:keepLines w:val="false"/>
        <w:pageBreakBefore w:val="false"/>
        <w:widowControl w:val="false"/>
        <w:pBdr/>
        <w:spacing/>
        <w:ind/>
        <w:jc w:val="center"/>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jc w:val="center"/>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 xml:space="preserve">项目前期工作经费2017年度绩效自评报告</w:t>
      </w:r>
      <w:r>
        <w:rPr>
          <w:rFonts w:hint="eastAsia" w:ascii="方正小标宋简体" w:hAnsi="方正小标宋简体" w:eastAsia="方正小标宋简体" w:cs="方正小标宋简体"/>
          <w:sz w:val="40"/>
          <w:szCs w:val="40"/>
        </w:rPr>
      </w:r>
      <w:r>
        <w:rPr>
          <w:rFonts w:hint="eastAsia" w:ascii="方正小标宋简体" w:hAnsi="方正小标宋简体" w:eastAsia="方正小标宋简体" w:cs="方正小标宋简体"/>
          <w:sz w:val="40"/>
          <w:szCs w:val="40"/>
        </w:rPr>
      </w:r>
    </w:p>
    <w:p>
      <w:pPr>
        <w:pStyle w:val="630"/>
        <w:keepNext w:val="false"/>
        <w:keepLines w:val="false"/>
        <w:pageBreakBefore w:val="false"/>
        <w:widowControl w:val="false"/>
        <w:pBdr/>
        <w:spacing/>
        <w:ind/>
        <w:jc w:val="center"/>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随州市</w:t>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"https://baike.baidu.com/item/%E5%8F%91%E5%B1%95%E5%92%8C%E6%94%B9%E9%9D%A9%E5%A7%94%E5%91%98%E4%BC%9A" \t "_blank"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rPr>
        <w:t xml:space="preserve">发展和改革委员会</w:t>
      </w:r>
      <w:r>
        <w:rPr>
          <w:rFonts w:hint="eastAsia" w:ascii="楷体_GB2312" w:hAnsi="楷体_GB2312" w:eastAsia="楷体_GB2312" w:cs="楷体_GB2312"/>
          <w:b/>
          <w:bCs/>
          <w:sz w:val="32"/>
          <w:szCs w:val="32"/>
        </w:rPr>
        <w:fldChar w:fldCharType="end"/>
      </w:r>
      <w:r>
        <w:rPr>
          <w:rFonts w:hint="eastAsia" w:ascii="楷体_GB2312" w:hAnsi="楷体_GB2312" w:eastAsia="楷体_GB2312" w:cs="楷体_GB2312"/>
          <w:b/>
          <w:bCs/>
          <w:sz w:val="32"/>
          <w:szCs w:val="32"/>
        </w:rPr>
      </w:r>
      <w:r>
        <w:rPr>
          <w:rFonts w:hint="eastAsia"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为加强财政资金管理，强化预算支出责任，提高资金使用效益，根据《省财政厅关于2018年开展财政支出绩效评价工作的通知》（鄂财绩发〔2018〕5号）和《市财政局关于2018年开展财政支出绩效评价工作的通知》（随财发〔2018〕16号）文件精神，随州市发展和改革委员会成立绩效评价小组，对2017年度“项目前期工作经费”进行了项目绩效自评工作，现将有关情况报告如下：</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hint="eastAsia" w:ascii="黑体" w:hAnsi="黑体" w:eastAsia="黑体" w:cs="黑体"/>
          <w:sz w:val="32"/>
          <w:szCs w:val="32"/>
        </w:rPr>
      </w:pPr>
      <w:r>
        <w:rPr>
          <w:rFonts w:hint="eastAsia" w:ascii="黑体" w:hAnsi="黑体" w:eastAsia="黑体" w:cs="黑体"/>
          <w:sz w:val="32"/>
          <w:szCs w:val="32"/>
        </w:rPr>
        <w:t xml:space="preserve">一、基本情况</w:t>
      </w:r>
      <w:r>
        <w:rPr>
          <w:rFonts w:hint="eastAsia" w:ascii="黑体" w:hAnsi="黑体" w:eastAsia="黑体" w:cs="黑体"/>
          <w:sz w:val="32"/>
          <w:szCs w:val="32"/>
        </w:rPr>
      </w:r>
      <w:r>
        <w:rPr>
          <w:rFonts w:hint="eastAsia" w:ascii="黑体" w:hAnsi="黑体" w:eastAsia="黑体" w:cs="黑体"/>
          <w:sz w:val="32"/>
          <w:szCs w:val="32"/>
        </w:rPr>
      </w:r>
    </w:p>
    <w:p>
      <w:pPr>
        <w:pStyle w:val="630"/>
        <w:keepNext w:val="false"/>
        <w:keepLines w:val="false"/>
        <w:pageBreakBefore w:val="false"/>
        <w:widowControl w:val="false"/>
        <w:pBdr/>
        <w:spacing/>
        <w:ind w:firstLine="643"/>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（一）项目概况</w:t>
      </w:r>
      <w:r>
        <w:rPr>
          <w:rFonts w:hint="eastAsia" w:ascii="楷体_GB2312" w:hAnsi="楷体_GB2312" w:eastAsia="楷体_GB2312" w:cs="楷体_GB2312"/>
          <w:b/>
          <w:bCs/>
          <w:sz w:val="32"/>
          <w:szCs w:val="32"/>
        </w:rPr>
      </w:r>
      <w:r>
        <w:rPr>
          <w:rFonts w:hint="eastAsia"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重大项目前期工作是指：从项目提出到开工建设的各个工作环节，主要包括项目建议书（商业计划书）、可行性研究（项目申请报告）、环境影响、规划选址、土地利用、初步设计、施工图设计、开工报告以及其他专题报告的编制、评估、论证、申报、审批（核准、备案）等一系列工作过程。</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项目前期工作经费是保障全市重大项目前期工作顺利开展的专项经费，具有较强的政策性和特殊性。该经费的开支范围是：重大前期项目的开发储备、规划设计、评估论证、上报审批等工作，以及争取项目和资金支持等工作的费用开支。</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随州市发改委主要职责</w:t>
      </w:r>
      <w:r>
        <w:rPr>
          <w:rFonts w:ascii="Times New Roman" w:hAnsi="Times New Roman" w:eastAsia="仿宋_GB2312" w:cs="Times New Roman"/>
          <w:sz w:val="32"/>
          <w:szCs w:val="32"/>
        </w:rPr>
        <w:t xml:space="preserve">第五条规定：负责规划重大建设项目和生产力布局，拟订全市全社会固定资产投资总规模和投资结构的调控目标、政策及措施，衔接平衡需要安排市政府投资和涉及重大建设项目的专项规划；组织提出全市重点项目计划草案；安排市级预算内固定资产投资，会同相关部门安排市财政性建设资金；按规定权限审批、核准、备案重大建设项目、重大外资项目、境外资源开发类重大投资项目和大额用汇投资项目；指导和监督国外贷款建设资金的使用，引导民间投资的方向，研究提出利用外资、境外投资的战略、规划、总量平衡和结构优化的目标和政策。组织开展重大建设项目稽查。</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（二）项目资金预算下达和绩效目标</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1、预算下达情况</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根据《市人民政府办公室关于做好2017年全市投资和重点项目建设工作的通知》精神，经市四届人大第一次会议审议批准，以《市财政局关于批复</w:t>
      </w:r>
      <w:r>
        <w:rPr>
          <w:rFonts w:ascii="Times New Roman" w:hAnsi="Times New Roman" w:eastAsia="仿宋_GB2312" w:cs="Times New Roman"/>
          <w:sz w:val="32"/>
          <w:szCs w:val="32"/>
        </w:rPr>
        <w:t xml:space="preserve">2017</w:t>
      </w:r>
      <w:r>
        <w:rPr>
          <w:rFonts w:ascii="Times New Roman" w:hAnsi="Times New Roman" w:eastAsia="仿宋_GB2312" w:cs="Times New Roman"/>
          <w:sz w:val="32"/>
          <w:szCs w:val="32"/>
        </w:rPr>
        <w:t xml:space="preserve">年市直部门预算的通知》（随财发〔</w:t>
      </w:r>
      <w:r>
        <w:rPr>
          <w:rFonts w:ascii="Times New Roman" w:hAnsi="Times New Roman" w:eastAsia="仿宋_GB2312" w:cs="Times New Roman"/>
          <w:sz w:val="32"/>
          <w:szCs w:val="32"/>
        </w:rPr>
        <w:t xml:space="preserve">2017</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7</w:t>
      </w:r>
      <w:r>
        <w:rPr>
          <w:rFonts w:ascii="Times New Roman" w:hAnsi="Times New Roman" w:eastAsia="仿宋_GB2312" w:cs="Times New Roman"/>
          <w:sz w:val="32"/>
          <w:szCs w:val="32"/>
        </w:rPr>
        <w:t xml:space="preserve">号）文件，下达市发改委2017年度“项目前期工作经费”预算总金额150万元，资金来源为市级财政拨款（补助）。主要用于全市重大项目前期工作的经费。</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2、主要绩效目标</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2017年市发改委按照市委市政府关于投资和重点项目建设的重大工作</w:t>
      </w:r>
      <w:r>
        <w:rPr>
          <w:rFonts w:ascii="Times New Roman" w:hAnsi="Times New Roman" w:eastAsia="仿宋_GB2312" w:cs="Times New Roman"/>
          <w:sz w:val="32"/>
          <w:szCs w:val="32"/>
        </w:rPr>
        <w:t xml:space="preserve">部</w:t>
      </w:r>
      <w:r>
        <w:rPr>
          <w:rFonts w:ascii="Times New Roman" w:hAnsi="Times New Roman" w:eastAsia="仿宋_GB2312" w:cs="Times New Roman"/>
          <w:sz w:val="32"/>
          <w:szCs w:val="32"/>
        </w:rPr>
        <w:t xml:space="preserve">署，全力以赴推动投资和项目建设，力争全年投资增长</w:t>
      </w:r>
      <w:r>
        <w:rPr>
          <w:rFonts w:ascii="Times New Roman" w:hAnsi="Times New Roman" w:eastAsia="仿宋_GB2312" w:cs="Times New Roman"/>
          <w:sz w:val="32"/>
          <w:szCs w:val="32"/>
        </w:rPr>
        <w:t xml:space="preserve">1</w:t>
      </w:r>
      <w:r>
        <w:rPr>
          <w:rFonts w:ascii="Times New Roman" w:hAnsi="Times New Roman" w:eastAsia="仿宋_GB2312" w:cs="Times New Roman"/>
          <w:sz w:val="32"/>
          <w:szCs w:val="32"/>
        </w:rPr>
        <w:t xml:space="preserve">6</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、固定资产投资增幅在全省“保五争三”目标，省级重点项目、省领导督办重大产业项目开工率</w:t>
      </w:r>
      <w:r>
        <w:rPr>
          <w:rFonts w:ascii="Times New Roman" w:hAnsi="Times New Roman" w:eastAsia="仿宋_GB2312" w:cs="Times New Roman"/>
          <w:sz w:val="32"/>
          <w:szCs w:val="32"/>
        </w:rPr>
        <w:t xml:space="preserve">100%</w:t>
      </w:r>
      <w:r>
        <w:rPr>
          <w:rFonts w:ascii="Times New Roman" w:hAnsi="Times New Roman" w:eastAsia="仿宋_GB2312" w:cs="Times New Roman"/>
          <w:sz w:val="32"/>
          <w:szCs w:val="32"/>
        </w:rPr>
        <w:t xml:space="preserve">，市级重点项目开工率</w:t>
      </w:r>
      <w:r>
        <w:rPr>
          <w:rFonts w:ascii="Times New Roman" w:hAnsi="Times New Roman" w:eastAsia="仿宋_GB2312" w:cs="Times New Roman"/>
          <w:sz w:val="32"/>
          <w:szCs w:val="32"/>
        </w:rPr>
        <w:t xml:space="preserve">76%</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二、绩效自评工作开展情况</w:t>
      </w:r>
      <w:r>
        <w:rPr>
          <w:rFonts w:hint="eastAsia" w:ascii="黑体" w:hAnsi="黑体" w:eastAsia="黑体" w:cs="黑体"/>
          <w:b w:val="0"/>
          <w:bCs w:val="0"/>
          <w:sz w:val="32"/>
          <w:szCs w:val="32"/>
        </w:rPr>
      </w:r>
      <w:r>
        <w:rPr>
          <w:rFonts w:hint="eastAsia" w:ascii="黑体" w:hAnsi="黑体" w:eastAsia="黑体" w:cs="黑体"/>
          <w:b w:val="0"/>
          <w:bCs w:val="0"/>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按照《市财政局关于</w:t>
      </w:r>
      <w:r>
        <w:rPr>
          <w:rFonts w:ascii="Times New Roman" w:hAnsi="Times New Roman" w:eastAsia="仿宋_GB2312" w:cs="Times New Roman"/>
          <w:sz w:val="32"/>
          <w:szCs w:val="32"/>
        </w:rPr>
        <w:t xml:space="preserve">2018</w:t>
      </w:r>
      <w:r>
        <w:rPr>
          <w:rFonts w:ascii="Times New Roman" w:hAnsi="Times New Roman" w:eastAsia="仿宋_GB2312" w:cs="Times New Roman"/>
          <w:sz w:val="32"/>
          <w:szCs w:val="32"/>
        </w:rPr>
        <w:t xml:space="preserve">年开展财政支出绩效评价工作的通知》（随财发〔</w:t>
      </w:r>
      <w:r>
        <w:rPr>
          <w:rFonts w:ascii="Times New Roman" w:hAnsi="Times New Roman" w:eastAsia="仿宋_GB2312" w:cs="Times New Roman"/>
          <w:sz w:val="32"/>
          <w:szCs w:val="32"/>
        </w:rPr>
        <w:t xml:space="preserve">2018</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16</w:t>
      </w:r>
      <w:r>
        <w:rPr>
          <w:rFonts w:ascii="Times New Roman" w:hAnsi="Times New Roman" w:eastAsia="仿宋_GB2312" w:cs="Times New Roman"/>
          <w:sz w:val="32"/>
          <w:szCs w:val="32"/>
        </w:rPr>
        <w:t xml:space="preserve">号）文件要求，成立项目绩效评价小组，对</w:t>
      </w:r>
      <w:r>
        <w:rPr>
          <w:rFonts w:ascii="Times New Roman" w:hAnsi="Times New Roman" w:eastAsia="仿宋_GB2312" w:cs="Times New Roman"/>
          <w:sz w:val="32"/>
          <w:szCs w:val="32"/>
        </w:rPr>
        <w:t xml:space="preserve">2017</w:t>
      </w:r>
      <w:r>
        <w:rPr>
          <w:rFonts w:ascii="Times New Roman" w:hAnsi="Times New Roman" w:eastAsia="仿宋_GB2312" w:cs="Times New Roman"/>
          <w:sz w:val="32"/>
          <w:szCs w:val="32"/>
        </w:rPr>
        <w:t xml:space="preserve">年度“项目前期工作经费”实施绩效自评价。</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1、前期准备：</w:t>
      </w:r>
      <w:r>
        <w:rPr>
          <w:rFonts w:ascii="Times New Roman" w:hAnsi="Times New Roman" w:eastAsia="仿宋_GB2312" w:cs="Times New Roman"/>
          <w:sz w:val="32"/>
          <w:szCs w:val="32"/>
        </w:rPr>
        <w:t xml:space="preserve">项目评价小组依据评价方案制定了项目评价任务清单和工作计划，明确了评价小组各成员的职责分工。</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2、组织过程：</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1</w:t>
      </w:r>
      <w:r>
        <w:rPr>
          <w:rFonts w:ascii="Times New Roman" w:hAnsi="Times New Roman" w:eastAsia="仿宋_GB2312" w:cs="Times New Roman"/>
          <w:sz w:val="32"/>
          <w:szCs w:val="32"/>
        </w:rPr>
        <w:t xml:space="preserve">）书面审核。评价小组对项目前期费相关依据证据材料的完整性、及时性、有效性进行审核，初步了解项目实施情况。（</w:t>
      </w:r>
      <w:r>
        <w:rPr>
          <w:rFonts w:ascii="Times New Roman" w:hAnsi="Times New Roman" w:eastAsia="仿宋_GB2312" w:cs="Times New Roman"/>
          <w:sz w:val="32"/>
          <w:szCs w:val="32"/>
        </w:rPr>
        <w:t xml:space="preserve">2</w:t>
      </w:r>
      <w:r>
        <w:rPr>
          <w:rFonts w:ascii="Times New Roman" w:hAnsi="Times New Roman" w:eastAsia="仿宋_GB2312" w:cs="Times New Roman"/>
          <w:sz w:val="32"/>
          <w:szCs w:val="32"/>
        </w:rPr>
        <w:t xml:space="preserve">）现场核查。评价小组结合相关材料，按照项目资金的使用去向进行现场核查。</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3、分析评价。</w:t>
      </w:r>
      <w:r>
        <w:rPr>
          <w:rFonts w:ascii="Times New Roman" w:hAnsi="Times New Roman" w:eastAsia="仿宋_GB2312" w:cs="Times New Roman"/>
          <w:sz w:val="32"/>
          <w:szCs w:val="32"/>
        </w:rPr>
        <w:t xml:space="preserve">一是结合书面审核和现场核查情况，确定项目资金绩效自评初步结果；二是根据初步评价结果在综合分析的基础上拟定项目资金绩效自评报告初稿，提交办公会讨论。评价小组根据反馈意见对报告修改完善后，形成项目资金绩效自评报告。</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hint="eastAsia" w:ascii="黑体" w:hAnsi="黑体" w:eastAsia="黑体" w:cs="黑体"/>
          <w:sz w:val="32"/>
          <w:szCs w:val="32"/>
        </w:rPr>
      </w:pPr>
      <w:r>
        <w:rPr>
          <w:rFonts w:hint="eastAsia" w:ascii="黑体" w:hAnsi="黑体" w:eastAsia="黑体" w:cs="黑体"/>
          <w:sz w:val="32"/>
          <w:szCs w:val="32"/>
        </w:rPr>
        <w:t xml:space="preserve">三、综合评价结论</w:t>
      </w:r>
      <w:r>
        <w:rPr>
          <w:rFonts w:hint="eastAsia" w:ascii="黑体" w:hAnsi="黑体" w:eastAsia="黑体" w:cs="黑体"/>
          <w:sz w:val="32"/>
          <w:szCs w:val="32"/>
        </w:rPr>
      </w:r>
      <w:r>
        <w:rPr>
          <w:rFonts w:hint="eastAsia" w:ascii="黑体" w:hAnsi="黑体" w:eastAsia="黑体" w:cs="黑体"/>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随州市</w:t>
      </w:r>
      <w:r>
        <w:rPr>
          <w:rFonts w:ascii="Times New Roman" w:hAnsi="Times New Roman" w:eastAsia="仿宋_GB2312" w:cs="Times New Roman"/>
          <w:sz w:val="32"/>
          <w:szCs w:val="32"/>
        </w:rPr>
        <w:t xml:space="preserve">发改委2017年投资“项目前期工作经费”150万</w:t>
      </w:r>
      <w:r>
        <w:rPr>
          <w:rFonts w:ascii="Times New Roman" w:hAnsi="Times New Roman" w:eastAsia="仿宋_GB2312" w:cs="Times New Roman"/>
          <w:sz w:val="32"/>
          <w:szCs w:val="32"/>
        </w:rPr>
        <w:t xml:space="preserve">元</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绩效评价总分为 </w:t>
      </w:r>
      <w:r>
        <w:rPr>
          <w:rFonts w:ascii="Times New Roman" w:hAnsi="Times New Roman" w:eastAsia="仿宋_GB2312" w:cs="Times New Roman"/>
          <w:sz w:val="32"/>
          <w:szCs w:val="32"/>
        </w:rPr>
        <w:t xml:space="preserve">92</w:t>
      </w:r>
      <w:r>
        <w:rPr>
          <w:rFonts w:ascii="Times New Roman" w:hAnsi="Times New Roman" w:eastAsia="仿宋_GB2312" w:cs="Times New Roman"/>
          <w:sz w:val="32"/>
          <w:szCs w:val="32"/>
        </w:rPr>
        <w:t xml:space="preserve">分，评价结果级别为优。</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在资金使用方面，严格制定和执行了财务管理核算制度，资金使用规范，相关资料齐全，成本控制有效，无挪用、截留经费的情况发生。在项目管理方面，建立了相关制度，提高了工作人员的监管水平，保质保量的完成了项目的实施工作。项目实施后，有力促进了全市经济社会加快发展，取得了显著的经济效益、社会效益和生态效益。</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黑体" w:hAnsi="黑体" w:eastAsia="黑体" w:cs="黑体"/>
          <w:sz w:val="32"/>
          <w:szCs w:val="32"/>
        </w:rPr>
      </w:pPr>
      <w:r>
        <w:rPr>
          <w:rFonts w:ascii="黑体" w:hAnsi="黑体" w:eastAsia="黑体" w:cs="黑体"/>
          <w:sz w:val="32"/>
          <w:szCs w:val="32"/>
        </w:rPr>
        <w:t xml:space="preserve">四、绩效目标实现情况分析</w:t>
      </w:r>
      <w:r>
        <w:rPr>
          <w:rFonts w:ascii="黑体" w:hAnsi="黑体" w:eastAsia="黑体" w:cs="黑体"/>
          <w:sz w:val="32"/>
          <w:szCs w:val="32"/>
        </w:rPr>
      </w:r>
      <w:r>
        <w:rPr>
          <w:rFonts w:ascii="黑体" w:hAnsi="黑体" w:eastAsia="黑体" w:cs="黑体"/>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（一）项目资金情况分析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1、项目资金到位情况分析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w:t>
      </w:r>
      <w:r>
        <w:rPr>
          <w:rFonts w:ascii="Times New Roman" w:hAnsi="Times New Roman" w:eastAsia="仿宋_GB2312" w:cs="Times New Roman"/>
          <w:sz w:val="32"/>
          <w:szCs w:val="32"/>
        </w:rPr>
        <w:t xml:space="preserve">年发改委收到项目前期工作经费150万元，资金到位率</w:t>
      </w:r>
      <w:r>
        <w:rPr>
          <w:rFonts w:ascii="Times New Roman" w:hAnsi="Times New Roman" w:eastAsia="仿宋_GB2312" w:cs="Times New Roman"/>
          <w:sz w:val="32"/>
          <w:szCs w:val="32"/>
        </w:rPr>
        <w:t xml:space="preserve">100%</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2、项目资金执行情况分析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截止2017年12月31日账面显示实际使用项目前期工作经费43.83万元，预算执行率29.33</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3、项目资金管理情况分析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财务管理制度健全。按照省</w:t>
      </w:r>
      <w:r>
        <w:rPr>
          <w:rFonts w:ascii="Times New Roman" w:hAnsi="Times New Roman" w:eastAsia="仿宋_GB2312" w:cs="Times New Roman"/>
          <w:sz w:val="32"/>
          <w:szCs w:val="32"/>
        </w:rPr>
        <w:t xml:space="preserve">发改委《湖北省预算内投资项目前期工作经费管理暂行办法》的通知</w:t>
      </w:r>
      <w:r>
        <w:rPr>
          <w:rFonts w:ascii="Times New Roman" w:hAnsi="Times New Roman" w:eastAsia="仿宋_GB2312" w:cs="Times New Roman"/>
          <w:sz w:val="32"/>
          <w:szCs w:val="32"/>
        </w:rPr>
        <w:t xml:space="preserve">（鄂发改规〔2016〕1号）以及市财政专项资金管理办法，严格遵循专款专用、独立核算的管理原则。项目的申报严格按照市财政资金管理要求进行，专项资金财政拨款到位后及时进行了项目开展和资金投入。对专项资金的管理按照项目支出涉及的经济科目规定，根据财务管理办法的相关制度执行，专项资金使用情况及时以报表形式内部公示，有力保证了项目资金的实施。</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资金拨付审批手续完整。月初，相关业务科室制定项目工作计划，项目实施前填写《项目支出申报审批表》、《出差申报审批表》等按程序报相关领导审批，项目结束后，按实际金额再报相关领导审批，并申请国库集中支付。各项资金全部实现国库集中支付、专款专用，未发现支出依据不合规、虚列项目支出、截留、挤占、挪用和超标准支出等现象，使项目资金的运用得到了合理的控制，项目得到了切实的保障。</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会计信息质量真实。严格执行《会计法》等财经法规，严格按照相关会计制度办理会计业务，进行会计核算，并做好会计记录，真实的反映项目资金管理情况，并接受市级财政、审计部门及上级主管部门的检查、监督。</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项目前期费开支中涉及政府采购和专家参与的，均已按政府采购及招投标规定，以及</w:t>
      </w:r>
      <w:r>
        <w:rPr>
          <w:rFonts w:ascii="Times New Roman" w:hAnsi="Times New Roman" w:eastAsia="仿宋_GB2312" w:cs="Times New Roman"/>
          <w:sz w:val="32"/>
          <w:szCs w:val="32"/>
        </w:rPr>
        <w:t xml:space="preserve">《政府采购评审专家管理办法》</w:t>
      </w:r>
      <w:r>
        <w:rPr>
          <w:rFonts w:ascii="Times New Roman" w:hAnsi="Times New Roman" w:eastAsia="仿宋_GB2312" w:cs="Times New Roman"/>
          <w:sz w:val="32"/>
          <w:szCs w:val="32"/>
        </w:rPr>
        <w:t xml:space="preserve">，《评标（评审）专家及专家库管理办法》履行了相关手续。</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（二）项目绩效指标完成情况分析</w:t>
      </w:r>
      <w:r>
        <w:rPr>
          <w:rFonts w:hint="eastAsia" w:ascii="楷体_GB2312" w:hAnsi="楷体_GB2312" w:eastAsia="楷体_GB2312" w:cs="楷体_GB2312"/>
          <w:b/>
          <w:bCs/>
          <w:sz w:val="32"/>
          <w:szCs w:val="32"/>
        </w:rPr>
      </w:r>
      <w:r>
        <w:rPr>
          <w:rFonts w:hint="eastAsia" w:ascii="楷体_GB2312" w:hAnsi="楷体_GB2312" w:eastAsia="楷体_GB2312" w:cs="楷体_GB2312"/>
          <w:b/>
          <w:bCs/>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1、产出指标完成情况分析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（1）实际完成情况</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w:t>
      </w:r>
      <w:r>
        <w:rPr>
          <w:rFonts w:ascii="Times New Roman" w:hAnsi="Times New Roman" w:eastAsia="仿宋_GB2312" w:cs="Times New Roman"/>
          <w:sz w:val="32"/>
          <w:szCs w:val="32"/>
        </w:rPr>
        <w:t xml:space="preserve">随州市2017年投资和重点项目完情况汇报</w:t>
      </w:r>
      <w:r>
        <w:rPr>
          <w:rFonts w:ascii="Times New Roman" w:hAnsi="Times New Roman" w:eastAsia="仿宋_GB2312" w:cs="Times New Roman"/>
          <w:sz w:val="32"/>
          <w:szCs w:val="32"/>
        </w:rPr>
        <w:t xml:space="preserve">》显示，</w:t>
      </w:r>
      <w:r>
        <w:rPr>
          <w:rFonts w:ascii="Times New Roman" w:hAnsi="Times New Roman" w:eastAsia="仿宋_GB2312" w:cs="Times New Roman"/>
          <w:sz w:val="32"/>
          <w:szCs w:val="32"/>
        </w:rPr>
        <w:t xml:space="preserve">全市完成固定资产投资1133.5亿元,同比增长16.3%，超年度计划目标0.3个百分点，高于全省平均增幅5.3个百分点，增幅在全省市州列第4位。</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（2）完成及时率</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w:t>
      </w:r>
      <w:r>
        <w:rPr>
          <w:rFonts w:ascii="Times New Roman" w:hAnsi="Times New Roman" w:eastAsia="仿宋_GB2312" w:cs="Times New Roman"/>
          <w:sz w:val="32"/>
          <w:szCs w:val="32"/>
        </w:rPr>
        <w:t xml:space="preserve">省督办重大产业项目3个，实际完成9.5亿元，超额完成年度计划45%；省级重点项目8个，实际完成41.6亿元，超额完成年度计划49%；新开工10亿元及以上项目14个，实际完成104.1亿元，超额完成年度计划22%</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全市169个市级重点项目实际开工147个，开工率87%，完成投资348.3亿元，超额完成计划投资12.1%。</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（3）质量达标率</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从产业结构看，第一产业完成投资同比增长4.9%，第二产业完成投资同比增长6.1%，第三产业完成投资同比增长32.5%。三次产业投资占比分别为6.5: 49: 44.5，占比同比分别下降0.7、下降4.7、增长5.4个百分点。</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从投资规模看，投资额度在5000万元以上项目405个，同比增加29个，完成投资同比增长8.7%；亿元以上项目270个，同比增加62个，完成投资同比增长19.4%。</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从投资结构看，民间投资完成781.1亿元，占总投资68.9%，投资同比增长8.2%；工业投资完成493.5亿元，占总投资43.5%，投资同比下降3.6%；技术改造投资完成278.95亿元，占总投资24.6%，投资同比增长31.3%。</w:t>
      </w:r>
      <w:r>
        <w:rPr>
          <w:rFonts w:ascii="Times New Roman" w:hAnsi="Times New Roman" w:eastAsia="仿宋_GB2312" w:cs="Times New Roman"/>
          <w:sz w:val="32"/>
          <w:szCs w:val="32"/>
        </w:rPr>
        <w:t xml:space="preserve">项目前期工作达到预期效果。</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（4</w:t>
      </w:r>
      <w:r>
        <w:rPr>
          <w:rFonts w:ascii="Times New Roman" w:hAnsi="Times New Roman" w:eastAsia="仿宋_GB2312" w:cs="Times New Roman"/>
          <w:b/>
          <w:bCs/>
          <w:sz w:val="32"/>
          <w:szCs w:val="32"/>
        </w:rPr>
        <w:t xml:space="preserve">）成本节约率</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市发改委不断加强成本控制和成本规划，建立严格的费用审批制度，组织发动广大干部开展各种降成本活动，不断提升项目管理水平，提高资金使用效益。2017年度项目前期工作经费财政实际拨款150万元，实际支出43.83万元，结转结余106.17万元。成本节约率70.78%。</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2、效益指标完成情况分析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（1）经济效益</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2017年随州市重点项目建设，</w:t>
      </w:r>
      <w:r>
        <w:rPr>
          <w:rFonts w:ascii="Times New Roman" w:hAnsi="Times New Roman" w:eastAsia="仿宋_GB2312" w:cs="Times New Roman"/>
          <w:sz w:val="32"/>
          <w:szCs w:val="32"/>
        </w:rPr>
        <w:t xml:space="preserve">以</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高质量项目建设推动高质量发展，用重大项目建设落实新发展</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理念</w:t>
      </w:r>
      <w:r>
        <w:rPr>
          <w:rFonts w:ascii="Times New Roman" w:hAnsi="Times New Roman" w:eastAsia="仿宋_GB2312" w:cs="Times New Roman"/>
          <w:sz w:val="32"/>
          <w:szCs w:val="32"/>
        </w:rPr>
        <w:t xml:space="preserve">，全年完成固定资产投资1133.5亿元，同比增长16.3%。项目建设</w:t>
      </w:r>
      <w:r>
        <w:rPr>
          <w:rFonts w:ascii="Times New Roman" w:hAnsi="Times New Roman" w:eastAsia="仿宋_GB2312" w:cs="Times New Roman"/>
          <w:sz w:val="32"/>
          <w:szCs w:val="32"/>
        </w:rPr>
        <w:t xml:space="preserve">涵盖现代装备制造、医药化工、商贸物流、农产融合、休闲旅游、市政基础设施等多个领域</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为建设特色经济增长极</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提供</w:t>
      </w:r>
      <w:r>
        <w:rPr>
          <w:rFonts w:ascii="Times New Roman" w:hAnsi="Times New Roman" w:eastAsia="仿宋_GB2312" w:cs="Times New Roman"/>
          <w:sz w:val="32"/>
          <w:szCs w:val="32"/>
        </w:rPr>
        <w:t xml:space="preserve">了</w:t>
      </w:r>
      <w:r>
        <w:rPr>
          <w:rFonts w:ascii="Times New Roman" w:hAnsi="Times New Roman" w:eastAsia="仿宋_GB2312" w:cs="Times New Roman"/>
          <w:sz w:val="32"/>
          <w:szCs w:val="32"/>
        </w:rPr>
        <w:t xml:space="preserve">强力</w:t>
      </w:r>
      <w:r>
        <w:rPr>
          <w:rFonts w:ascii="Times New Roman" w:hAnsi="Times New Roman" w:eastAsia="仿宋_GB2312" w:cs="Times New Roman"/>
          <w:sz w:val="32"/>
          <w:szCs w:val="32"/>
        </w:rPr>
        <w:t xml:space="preserve">的</w:t>
      </w:r>
      <w:r>
        <w:rPr>
          <w:rFonts w:ascii="Times New Roman" w:hAnsi="Times New Roman" w:eastAsia="仿宋_GB2312" w:cs="Times New Roman"/>
          <w:sz w:val="32"/>
          <w:szCs w:val="32"/>
        </w:rPr>
        <w:t xml:space="preserve">支撑。</w:t>
      </w:r>
      <w:r>
        <w:rPr>
          <w:rFonts w:ascii="Times New Roman" w:hAnsi="Times New Roman" w:eastAsia="仿宋_GB2312" w:cs="Times New Roman"/>
          <w:sz w:val="32"/>
          <w:szCs w:val="32"/>
        </w:rPr>
        <w:t xml:space="preserve">通过推进重点项目建设，极大地提升了我市经济实力，取得了巨大的经济效益，是拉动随州市经济高效、快速发展的重要举措。</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（2）社会效益</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全年新开工项目2060个，其中：首座500千伏智能变电站投产送电，随孝电网解环工程完工，广水电网并入随州。中广核万店、齐星龙岗等地面光伏电站并网发电，金龙新型地板、程力5万辆轻卡、广固数控加工机床、泰华科技二期扩能等项目建成投产，宁西铁路增建二线随县段顺利竣工。汉十高铁、鄂北水资源配置工程随州段、武汉城市圈环线高速广水段等一大批民生建设和基础设施项目取得良好的社会效益。</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（3）可持续影响</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全力开展项目建设“比拼赶超”，全市投资和重大项目建设超额完成年度计划目标。</w:t>
      </w:r>
      <w:r>
        <w:rPr>
          <w:rFonts w:ascii="Times New Roman" w:hAnsi="Times New Roman" w:eastAsia="仿宋_GB2312" w:cs="Times New Roman"/>
          <w:sz w:val="32"/>
          <w:szCs w:val="32"/>
        </w:rPr>
        <w:t xml:space="preserve">全面改善了工业产业升级、现代农业发展、城市基础设施、桥梁道路畅通、生态园林绿化、</w:t>
      </w:r>
      <w:r>
        <w:rPr>
          <w:rFonts w:ascii="Times New Roman" w:hAnsi="Times New Roman" w:eastAsia="仿宋_GB2312" w:cs="Times New Roman"/>
          <w:sz w:val="32"/>
          <w:szCs w:val="32"/>
        </w:rPr>
        <w:t xml:space="preserve">排水防涝、民生公共服务、供水供电设施等诸方面的经济基础，</w:t>
      </w:r>
      <w:r>
        <w:rPr>
          <w:rFonts w:ascii="Times New Roman" w:hAnsi="Times New Roman" w:eastAsia="仿宋_GB2312" w:cs="Times New Roman"/>
          <w:sz w:val="32"/>
          <w:szCs w:val="32"/>
        </w:rPr>
        <w:t xml:space="preserve">对我市提高工业整体竞争力、巩固现代农业、发展现代服务业，以及社会文明进步，生态环保建设、人民生活的提高等多方面的可持续性发展产生深远的影响。有利于发挥后发优势、实现跨越赶超发展。</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3、满意度指标完成情况分析</w:t>
      </w:r>
      <w:r>
        <w:rPr>
          <w:rFonts w:ascii="Times New Roman" w:hAnsi="Times New Roman" w:eastAsia="仿宋_GB2312" w:cs="Times New Roman"/>
          <w:b/>
          <w:bCs/>
          <w:sz w:val="32"/>
          <w:szCs w:val="32"/>
        </w:rPr>
      </w:r>
      <w:r>
        <w:rPr>
          <w:rFonts w:ascii="Times New Roman" w:hAnsi="Times New Roman" w:eastAsia="仿宋_GB2312" w:cs="Times New Roman"/>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投资和重点项目建设惠及全市人民群众，2017年</w:t>
      </w:r>
      <w:r>
        <w:rPr>
          <w:rFonts w:ascii="Times New Roman" w:hAnsi="Times New Roman" w:eastAsia="仿宋_GB2312" w:cs="Times New Roman"/>
          <w:sz w:val="32"/>
          <w:szCs w:val="32"/>
        </w:rPr>
        <w:t xml:space="preserve">全市完成固定资产投资增幅在全省市州列第4位。</w:t>
      </w:r>
      <w:r>
        <w:rPr>
          <w:rFonts w:ascii="Times New Roman" w:hAnsi="Times New Roman" w:eastAsia="仿宋_GB2312" w:cs="Times New Roman"/>
          <w:sz w:val="32"/>
          <w:szCs w:val="32"/>
        </w:rPr>
        <w:t xml:space="preserve">省人民政府办公厅《关于</w:t>
      </w:r>
      <w:r>
        <w:rPr>
          <w:rFonts w:ascii="Times New Roman" w:hAnsi="Times New Roman" w:eastAsia="仿宋_GB2312" w:cs="Times New Roman"/>
          <w:sz w:val="32"/>
          <w:szCs w:val="32"/>
        </w:rPr>
        <w:t xml:space="preserve">2017</w:t>
      </w:r>
      <w:r>
        <w:rPr>
          <w:rFonts w:ascii="Times New Roman" w:hAnsi="Times New Roman" w:eastAsia="仿宋_GB2312" w:cs="Times New Roman"/>
          <w:sz w:val="32"/>
          <w:szCs w:val="32"/>
        </w:rPr>
        <w:t xml:space="preserve">年度全省固定资产投资及重点建设项目目标考核情况的通报》</w:t>
      </w: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（鄂政办函〔</w:t>
      </w:r>
      <w:r>
        <w:rPr>
          <w:rFonts w:ascii="Times New Roman" w:hAnsi="Times New Roman" w:eastAsia="仿宋_GB2312" w:cs="Times New Roman"/>
          <w:sz w:val="32"/>
          <w:szCs w:val="32"/>
        </w:rPr>
        <w:t xml:space="preserve">2018</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33</w:t>
      </w:r>
      <w:r>
        <w:rPr>
          <w:rFonts w:ascii="Times New Roman" w:hAnsi="Times New Roman" w:eastAsia="仿宋_GB2312" w:cs="Times New Roman"/>
          <w:sz w:val="32"/>
          <w:szCs w:val="32"/>
        </w:rPr>
        <w:t xml:space="preserve">号）随州市荣获全省投资和项目建设贡献单位荣誉称号。</w:t>
      </w:r>
      <w:r>
        <w:rPr>
          <w:rFonts w:ascii="Times New Roman" w:hAnsi="Times New Roman" w:eastAsia="仿宋_GB2312" w:cs="Times New Roman"/>
          <w:sz w:val="32"/>
          <w:szCs w:val="32"/>
        </w:rPr>
        <w:t xml:space="preserve">项目前期工作发挥了较好规划和前瞻作用</w:t>
      </w:r>
      <w:r>
        <w:rPr>
          <w:rFonts w:ascii="Times New Roman" w:hAnsi="Times New Roman" w:eastAsia="仿宋_GB2312" w:cs="Times New Roman"/>
          <w:sz w:val="32"/>
          <w:szCs w:val="32"/>
        </w:rPr>
        <w:t xml:space="preserve">，向市委市政府和全市人民递交了一份满意的答卷。</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hint="eastAsia" w:ascii="黑体" w:hAnsi="黑体" w:eastAsia="黑体" w:cs="黑体"/>
          <w:sz w:val="32"/>
          <w:szCs w:val="32"/>
        </w:rPr>
      </w:pPr>
      <w:r>
        <w:rPr>
          <w:rFonts w:hint="eastAsia" w:ascii="黑体" w:hAnsi="黑体" w:eastAsia="黑体" w:cs="黑体"/>
          <w:sz w:val="32"/>
          <w:szCs w:val="32"/>
        </w:rPr>
        <w:t xml:space="preserve">五、绩效目标未完成原因和下一步改进措施</w:t>
      </w:r>
      <w:r>
        <w:rPr>
          <w:rFonts w:hint="eastAsia" w:ascii="黑体" w:hAnsi="黑体" w:eastAsia="黑体" w:cs="黑体"/>
          <w:sz w:val="32"/>
          <w:szCs w:val="32"/>
        </w:rPr>
      </w:r>
      <w:r>
        <w:rPr>
          <w:rFonts w:hint="eastAsia" w:ascii="黑体" w:hAnsi="黑体" w:eastAsia="黑体" w:cs="黑体"/>
          <w:sz w:val="32"/>
          <w:szCs w:val="32"/>
        </w:rPr>
      </w:r>
    </w:p>
    <w:p>
      <w:pPr>
        <w:pStyle w:val="630"/>
        <w:keepNext w:val="false"/>
        <w:keepLines w:val="false"/>
        <w:pageBreakBefore w:val="false"/>
        <w:widowControl w:val="false"/>
        <w:pBdr/>
        <w:spacing/>
        <w:ind w:firstLine="643"/>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（一）预算支出未完成原因</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2017</w:t>
      </w:r>
      <w:r>
        <w:rPr>
          <w:rFonts w:ascii="Times New Roman" w:hAnsi="Times New Roman" w:eastAsia="仿宋_GB2312" w:cs="Times New Roman"/>
          <w:sz w:val="32"/>
          <w:szCs w:val="32"/>
        </w:rPr>
        <w:t xml:space="preserve">年度项目资金预算150万元，账面实际支出43.83万元，账面结余资金106.17万元，执行29.22</w:t>
      </w:r>
      <w:r>
        <w:rPr>
          <w:rFonts w:ascii="Times New Roman" w:hAnsi="Times New Roman" w:eastAsia="仿宋_GB2312" w:cs="Times New Roman"/>
          <w:sz w:val="32"/>
          <w:szCs w:val="32"/>
        </w:rPr>
        <w:t xml:space="preserve">%</w:t>
      </w:r>
      <w:r>
        <w:rPr>
          <w:rFonts w:ascii="Times New Roman" w:hAnsi="Times New Roman" w:eastAsia="仿宋_GB2312" w:cs="Times New Roman"/>
          <w:sz w:val="32"/>
          <w:szCs w:val="32"/>
        </w:rPr>
        <w:t xml:space="preserve">，。主要原因：一是受目前投资大环境影响，新项目前期工作进展较为缓慢，导致资金支出结算滞后；二是会计核算粗放，项目资金明细账未进行细分核算，并且列入项目资金核算的只是项目前期工作的直接开支，其他间接开支未列入，导致项目前期工作经费支出与上年不可比。</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（二）下一步改进措施</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精确项目资金的预算管理，有计划地安排的使用项目资金，争取在年度内按时、按质、按量完成预算指标。健全会计核算制度，严格遵循项目资金专款专用、专账核算的原则，细化项目成本核算和资金管理。</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黑体" w:hAnsi="黑体" w:eastAsia="黑体" w:cs="黑体"/>
          <w:sz w:val="32"/>
          <w:szCs w:val="32"/>
        </w:rPr>
      </w:pPr>
      <w:r>
        <w:rPr>
          <w:rFonts w:ascii="黑体" w:hAnsi="黑体" w:eastAsia="黑体" w:cs="黑体"/>
          <w:sz w:val="32"/>
          <w:szCs w:val="32"/>
        </w:rPr>
        <w:t xml:space="preserve">六、绩效自评结果拟应用和公开情况</w:t>
      </w:r>
      <w:r>
        <w:rPr>
          <w:rFonts w:ascii="黑体" w:hAnsi="黑体" w:eastAsia="黑体" w:cs="黑体"/>
          <w:sz w:val="32"/>
          <w:szCs w:val="32"/>
        </w:rPr>
      </w:r>
      <w:r>
        <w:rPr>
          <w:rFonts w:ascii="黑体" w:hAnsi="黑体" w:eastAsia="黑体" w:cs="黑体"/>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本自评报告专用于本报告所列明的目的和报送财政主管部门检查使用，除依据法律规定需要公开的情形外，使用报告的全部或部分内容需经过本部门同意。</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黑体" w:hAnsi="黑体" w:eastAsia="黑体" w:cs="黑体"/>
          <w:sz w:val="32"/>
          <w:szCs w:val="32"/>
        </w:rPr>
      </w:pPr>
      <w:r>
        <w:rPr>
          <w:rFonts w:ascii="黑体" w:hAnsi="黑体" w:eastAsia="黑体" w:cs="黑体"/>
          <w:sz w:val="32"/>
          <w:szCs w:val="32"/>
        </w:rPr>
        <w:t xml:space="preserve">七、绩效自评工作的经验、问题和建议</w:t>
      </w:r>
      <w:r>
        <w:rPr>
          <w:rFonts w:ascii="黑体" w:hAnsi="黑体" w:eastAsia="黑体" w:cs="黑体"/>
          <w:sz w:val="32"/>
          <w:szCs w:val="32"/>
        </w:rPr>
      </w:r>
      <w:r>
        <w:rPr>
          <w:rFonts w:ascii="黑体" w:hAnsi="黑体" w:eastAsia="黑体" w:cs="黑体"/>
          <w:sz w:val="32"/>
          <w:szCs w:val="32"/>
        </w:rPr>
      </w:r>
    </w:p>
    <w:p>
      <w:pPr>
        <w:pStyle w:val="630"/>
        <w:keepNext w:val="false"/>
        <w:keepLines w:val="false"/>
        <w:pageBreakBefore w:val="false"/>
        <w:widowControl w:val="false"/>
        <w:pBdr/>
        <w:spacing/>
        <w:ind w:firstLine="643"/>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（一）主要经验</w:t>
      </w:r>
      <w:r>
        <w:rPr>
          <w:rFonts w:hint="eastAsia" w:ascii="楷体_GB2312" w:hAnsi="楷体_GB2312" w:eastAsia="楷体_GB2312" w:cs="楷体_GB2312"/>
          <w:b/>
          <w:bCs/>
          <w:sz w:val="32"/>
          <w:szCs w:val="32"/>
        </w:rPr>
      </w:r>
      <w:r>
        <w:rPr>
          <w:rFonts w:hint="eastAsia"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单位领导重视，根据上级要求，组织学习相关文件要求，结合单位实际情况，对需要绩效自评的项目决定自行成立项目评价小组或委托中介机构开展自评。</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（二）问题</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一是自评项目的评价质量有待提高，存在对评价资料的运用不娴熟，评价指标不明确等情况；二是对绩效自评指标体系科学合理建设有困难。三是绩效评价的指标设定有待细化。由于重点项目数量多，规模不一，单一的绩效评价指标体系会影响对项目评价的全面性和重要性。</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3"/>
        <w:outlineLvl w:val="9"/>
        <w:rPr>
          <w:rFonts w:ascii="楷体_GB2312" w:hAnsi="楷体_GB2312" w:eastAsia="楷体_GB2312" w:cs="楷体_GB2312"/>
          <w:b/>
          <w:bCs/>
          <w:sz w:val="32"/>
          <w:szCs w:val="32"/>
        </w:rPr>
      </w:pPr>
      <w:r>
        <w:rPr>
          <w:rFonts w:ascii="楷体_GB2312" w:hAnsi="楷体_GB2312" w:eastAsia="楷体_GB2312" w:cs="楷体_GB2312"/>
          <w:b/>
          <w:bCs/>
          <w:sz w:val="32"/>
          <w:szCs w:val="32"/>
        </w:rPr>
        <w:t xml:space="preserve">（三）建议</w:t>
      </w:r>
      <w:r>
        <w:rPr>
          <w:rFonts w:ascii="楷体_GB2312" w:hAnsi="楷体_GB2312" w:eastAsia="楷体_GB2312" w:cs="楷体_GB2312"/>
          <w:b/>
          <w:bCs/>
          <w:sz w:val="32"/>
          <w:szCs w:val="32"/>
        </w:rPr>
      </w:r>
      <w:r>
        <w:rPr>
          <w:rFonts w:ascii="楷体_GB2312" w:hAnsi="楷体_GB2312" w:eastAsia="楷体_GB2312" w:cs="楷体_GB2312"/>
          <w:b/>
          <w:bCs/>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是单位成立绩效评价协调部门，协调绩效评价所需资料的收集工作、报告的撰写。二是组织对各单位的绩效自评情况进行集中评审或交流评审，相互交流工作经验，提高评审质量。三是多组织学习，提高认识，提升质量。</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hint="eastAsia" w:ascii="黑体" w:hAnsi="黑体" w:eastAsia="黑体" w:cs="黑体"/>
          <w:sz w:val="32"/>
          <w:szCs w:val="32"/>
        </w:rPr>
      </w:pPr>
      <w:r>
        <w:rPr>
          <w:rFonts w:hint="eastAsia" w:ascii="黑体" w:hAnsi="黑体" w:eastAsia="黑体" w:cs="黑体"/>
          <w:sz w:val="32"/>
          <w:szCs w:val="32"/>
        </w:rPr>
        <w:t xml:space="preserve">八、其他需说明的问题</w:t>
      </w:r>
      <w:r>
        <w:rPr>
          <w:rFonts w:hint="eastAsia" w:ascii="黑体" w:hAnsi="黑体" w:eastAsia="黑体" w:cs="黑体"/>
          <w:sz w:val="32"/>
          <w:szCs w:val="32"/>
        </w:rPr>
      </w:r>
      <w:r>
        <w:rPr>
          <w:rFonts w:hint="eastAsia" w:ascii="黑体" w:hAnsi="黑体" w:eastAsia="黑体" w:cs="黑体"/>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本次绩效自评所需资料主要以本部门所提供的相关资料为依据，由于时间紧，业务范围广，指标不易确定，也受专业知识和评价能力的限制，评价结果可能有缺陷。</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附：随州市发改委“项目前期费”项目绩效目标自评表</w:t>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64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416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随州市</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"https://baike.baidu.com/item/%E5%8F%91%E5%B1%95%E5%92%8C%E6%94%B9%E9%9D%A9%E5%A7%94%E5%91%98%E4%BC%9A" \t "_blank"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 xml:space="preserve">发改委</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r>
      <w:r>
        <w:rPr>
          <w:rFonts w:ascii="Times New Roman" w:hAnsi="Times New Roman" w:eastAsia="仿宋_GB2312" w:cs="Times New Roman"/>
          <w:sz w:val="32"/>
          <w:szCs w:val="32"/>
        </w:rPr>
      </w:r>
    </w:p>
    <w:p>
      <w:pPr>
        <w:pStyle w:val="630"/>
        <w:keepNext w:val="false"/>
        <w:keepLines w:val="false"/>
        <w:pageBreakBefore w:val="false"/>
        <w:widowControl w:val="false"/>
        <w:pBdr/>
        <w:spacing/>
        <w:ind w:firstLine="4160"/>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2018年9月27日</w:t>
      </w:r>
      <w:r>
        <w:rPr>
          <w:rFonts w:ascii="Times New Roman" w:hAnsi="Times New Roman" w:eastAsia="仿宋_GB2312" w:cs="Times New Roman"/>
          <w:sz w:val="32"/>
          <w:szCs w:val="32"/>
        </w:rPr>
      </w:r>
      <w:r>
        <w:rPr>
          <w:rFonts w:ascii="Times New Roman" w:hAnsi="Times New Roman" w:eastAsia="仿宋_GB2312" w:cs="Times New Roman"/>
          <w:sz w:val="32"/>
          <w:szCs w:val="32"/>
        </w:rPr>
      </w:r>
    </w:p>
    <w:tbl>
      <w:tblPr>
        <w:tblW w:w="0" w:type="auto"/>
        <w:tblInd w:w="-15" w:type="dxa"/>
        <w:tblBorders/>
        <w:tblLayout w:type="fixed"/>
        <w:tblCellMar>
          <w:left w:w="108" w:type="dxa"/>
          <w:top w:w="0" w:type="dxa"/>
          <w:right w:w="108" w:type="dxa"/>
          <w:bottom w:w="0" w:type="dxa"/>
        </w:tblCellMar>
        <w:tblLook w:val="04A0" w:firstRow="1" w:lastRow="0" w:firstColumn="1" w:lastColumn="0" w:noHBand="0" w:noVBand="1"/>
      </w:tblPr>
      <w:tblGrid>
        <w:gridCol w:w="917"/>
        <w:gridCol w:w="787"/>
        <w:gridCol w:w="1150"/>
        <w:gridCol w:w="1127"/>
        <w:gridCol w:w="1183"/>
        <w:gridCol w:w="925"/>
        <w:gridCol w:w="415"/>
        <w:gridCol w:w="415"/>
        <w:gridCol w:w="1510"/>
      </w:tblGrid>
      <w:tr>
        <w:trPr>
          <w:trHeight w:val="390"/>
        </w:trPr>
        <w:tc>
          <w:tcPr>
            <w:gridSpan w:val="9"/>
            <w:tcBorders>
              <w:top w:val="none" w:color="000000" w:sz="4" w:space="0"/>
              <w:left w:val="none" w:color="000000" w:sz="4" w:space="0"/>
              <w:bottom w:val="none" w:color="000000" w:sz="4" w:space="0"/>
              <w:right w:val="none" w:color="000000" w:sz="4" w:space="0"/>
            </w:tcBorders>
            <w:tcW w:w="8429" w:type="dxa"/>
            <w:vAlign w:val="center"/>
            <w:textDirection w:val="lrTb"/>
            <w:noWrap w:val="false"/>
          </w:tcPr>
          <w:p>
            <w:pPr>
              <w:pStyle w:val="630"/>
              <w:widowControl w:val="true"/>
              <w:pBdr/>
              <w:spacing/>
              <w:ind/>
              <w:jc w:val="center"/>
              <w:rPr>
                <w:rFonts w:ascii="仿宋_GB2312" w:hAnsi="宋体" w:eastAsia="仿宋_GB2312" w:cs="宋体"/>
                <w:b/>
                <w:bCs/>
                <w:color w:val="000000"/>
                <w:sz w:val="30"/>
                <w:szCs w:val="30"/>
              </w:rPr>
            </w:pPr>
            <w:r>
              <w:rPr>
                <w:rFonts w:hint="eastAsia" w:ascii="仿宋_GB2312" w:hAnsi="宋体" w:eastAsia="仿宋_GB2312" w:cs="宋体"/>
                <w:b/>
                <w:bCs/>
                <w:color w:val="000000"/>
                <w:sz w:val="30"/>
                <w:szCs w:val="30"/>
              </w:rPr>
              <w:t xml:space="preserve">随州市发改委“项目前期工作经费”项目绩效目标自评表</w:t>
            </w:r>
            <w:r>
              <w:rPr>
                <w:rFonts w:ascii="仿宋_GB2312" w:hAnsi="宋体" w:eastAsia="仿宋_GB2312" w:cs="宋体"/>
                <w:b/>
                <w:bCs/>
                <w:color w:val="000000"/>
                <w:sz w:val="30"/>
                <w:szCs w:val="30"/>
              </w:rPr>
            </w:r>
            <w:r>
              <w:rPr>
                <w:rFonts w:ascii="仿宋_GB2312" w:hAnsi="宋体" w:eastAsia="仿宋_GB2312" w:cs="宋体"/>
                <w:b/>
                <w:bCs/>
                <w:color w:val="000000"/>
                <w:sz w:val="30"/>
                <w:szCs w:val="30"/>
              </w:rPr>
            </w:r>
          </w:p>
        </w:tc>
      </w:tr>
      <w:tr>
        <w:trPr>
          <w:trHeight w:val="559"/>
        </w:trPr>
        <w:tc>
          <w:tcPr>
            <w:gridSpan w:val="9"/>
            <w:tcBorders>
              <w:top w:val="none" w:color="000000" w:sz="4" w:space="0"/>
              <w:left w:val="none" w:color="000000" w:sz="4" w:space="0"/>
              <w:bottom w:val="none" w:color="000000" w:sz="4" w:space="0"/>
              <w:right w:val="none" w:color="000000" w:sz="4" w:space="0"/>
            </w:tcBorders>
            <w:tcW w:w="8429" w:type="dxa"/>
            <w:vAlign w:val="center"/>
            <w:textDirection w:val="lrTb"/>
            <w:noWrap w:val="false"/>
          </w:tcPr>
          <w:p>
            <w:pPr>
              <w:pStyle w:val="630"/>
              <w:widowControl w:val="true"/>
              <w:pBdr/>
              <w:spacing/>
              <w:ind/>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 xml:space="preserve">（</w:t>
            </w:r>
            <w:r>
              <w:rPr>
                <w:rFonts w:eastAsia="仿宋_GB2312"/>
                <w:color w:val="000000"/>
                <w:sz w:val="28"/>
                <w:szCs w:val="28"/>
              </w:rPr>
              <w:t xml:space="preserve">2017</w:t>
            </w:r>
            <w:r>
              <w:rPr>
                <w:rFonts w:hint="eastAsia" w:ascii="仿宋_GB2312" w:hAnsi="宋体" w:eastAsia="仿宋_GB2312" w:cs="宋体"/>
                <w:color w:val="000000"/>
                <w:sz w:val="28"/>
                <w:szCs w:val="28"/>
              </w:rPr>
              <w:t xml:space="preserve">年度）</w:t>
            </w:r>
            <w:r>
              <w:rPr>
                <w:rFonts w:ascii="仿宋_GB2312" w:hAnsi="宋体" w:eastAsia="仿宋_GB2312" w:cs="宋体"/>
                <w:color w:val="000000"/>
                <w:sz w:val="28"/>
                <w:szCs w:val="28"/>
              </w:rPr>
            </w:r>
            <w:r>
              <w:rPr>
                <w:rFonts w:ascii="仿宋_GB2312" w:hAnsi="宋体" w:eastAsia="仿宋_GB2312" w:cs="宋体"/>
                <w:color w:val="000000"/>
                <w:sz w:val="28"/>
                <w:szCs w:val="28"/>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专项（项目）名称</w:t>
            </w:r>
            <w:r>
              <w:rPr>
                <w:rFonts w:ascii="宋体" w:hAnsi="宋体" w:cs="宋体"/>
                <w:color w:val="000000"/>
                <w:sz w:val="20"/>
                <w:szCs w:val="20"/>
              </w:rPr>
            </w:r>
            <w:r>
              <w:rPr>
                <w:rFonts w:ascii="宋体" w:hAnsi="宋体" w:cs="宋体"/>
                <w:color w:val="000000"/>
                <w:sz w:val="20"/>
                <w:szCs w:val="20"/>
              </w:rPr>
            </w:r>
          </w:p>
        </w:tc>
        <w:tc>
          <w:tcPr>
            <w:gridSpan w:val="6"/>
            <w:tcBorders>
              <w:top w:val="single" w:color="000000" w:sz="4" w:space="0"/>
              <w:left w:val="none" w:color="000000" w:sz="4" w:space="0"/>
              <w:bottom w:val="single" w:color="000000" w:sz="4" w:space="0"/>
              <w:right w:val="single" w:color="000000" w:sz="4" w:space="0"/>
            </w:tcBorders>
            <w:tcW w:w="557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项目前期工作经费</w:t>
            </w:r>
            <w:r>
              <w:rPr>
                <w:rFonts w:ascii="宋体" w:hAnsi="宋体" w:cs="宋体"/>
                <w:color w:val="000000"/>
                <w:sz w:val="20"/>
                <w:szCs w:val="20"/>
              </w:rPr>
            </w:r>
            <w:r>
              <w:rPr>
                <w:rFonts w:ascii="宋体" w:hAnsi="宋体" w:cs="宋体"/>
                <w:color w:val="000000"/>
                <w:sz w:val="20"/>
                <w:szCs w:val="20"/>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主管部门</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随州市发改委</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134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实施单位</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1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随州市发改委</w:t>
            </w:r>
            <w:r>
              <w:rPr>
                <w:rFonts w:ascii="宋体" w:hAnsi="宋体" w:cs="宋体"/>
                <w:color w:val="000000"/>
                <w:sz w:val="20"/>
                <w:szCs w:val="20"/>
              </w:rPr>
            </w:r>
            <w:r>
              <w:rPr>
                <w:rFonts w:ascii="宋体" w:hAnsi="宋体" w:cs="宋体"/>
                <w:color w:val="000000"/>
                <w:sz w:val="20"/>
                <w:szCs w:val="20"/>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vMerge w:val="restart"/>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项目资金（万元）</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27" w:type="dxa"/>
            <w:vAlign w:val="center"/>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83"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全年预算数（A）</w:t>
            </w:r>
            <w:r>
              <w:rPr>
                <w:rFonts w:ascii="宋体" w:hAnsi="宋体" w:cs="宋体"/>
                <w:color w:val="000000"/>
                <w:sz w:val="20"/>
                <w:szCs w:val="20"/>
              </w:rPr>
            </w:r>
            <w:r>
              <w:rPr>
                <w:rFonts w:ascii="宋体" w:hAnsi="宋体" w:cs="宋体"/>
                <w:color w:val="000000"/>
                <w:sz w:val="20"/>
                <w:szCs w:val="20"/>
              </w:rPr>
            </w:r>
          </w:p>
        </w:tc>
        <w:tc>
          <w:tcPr>
            <w:gridSpan w:val="3"/>
            <w:tcBorders>
              <w:top w:val="single" w:color="000000" w:sz="4" w:space="0"/>
              <w:left w:val="none" w:color="000000" w:sz="4" w:space="0"/>
              <w:bottom w:val="single" w:color="000000" w:sz="4" w:space="0"/>
              <w:right w:val="single" w:color="000000" w:sz="4" w:space="0"/>
            </w:tcBorders>
            <w:tcW w:w="175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全年执行数（B）</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执行率（B/A)</w:t>
            </w:r>
            <w:r>
              <w:rPr>
                <w:rFonts w:ascii="宋体" w:hAnsi="宋体" w:cs="宋体"/>
                <w:color w:val="000000"/>
                <w:sz w:val="20"/>
                <w:szCs w:val="20"/>
              </w:rPr>
            </w:r>
            <w:r>
              <w:rPr>
                <w:rFonts w:ascii="宋体" w:hAnsi="宋体" w:cs="宋体"/>
                <w:color w:val="000000"/>
                <w:sz w:val="20"/>
                <w:szCs w:val="20"/>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27" w:type="dxa"/>
            <w:vAlign w:val="center"/>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年度资金总额：</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83"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150</w:t>
            </w:r>
            <w:r>
              <w:rPr>
                <w:rFonts w:ascii="宋体" w:hAnsi="宋体" w:cs="宋体"/>
                <w:color w:val="000000"/>
                <w:sz w:val="20"/>
                <w:szCs w:val="20"/>
              </w:rPr>
            </w:r>
            <w:r>
              <w:rPr>
                <w:rFonts w:ascii="宋体" w:hAnsi="宋体" w:cs="宋体"/>
                <w:color w:val="000000"/>
                <w:sz w:val="20"/>
                <w:szCs w:val="20"/>
              </w:rPr>
            </w:r>
          </w:p>
        </w:tc>
        <w:tc>
          <w:tcPr>
            <w:gridSpan w:val="3"/>
            <w:tcBorders>
              <w:top w:val="single" w:color="000000" w:sz="4" w:space="0"/>
              <w:left w:val="none" w:color="000000" w:sz="4" w:space="0"/>
              <w:bottom w:val="single" w:color="000000" w:sz="4" w:space="0"/>
              <w:right w:val="single" w:color="000000" w:sz="4" w:space="0"/>
            </w:tcBorders>
            <w:tcW w:w="175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43.83</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29.22%</w:t>
            </w:r>
            <w:r>
              <w:rPr>
                <w:rFonts w:ascii="宋体" w:hAnsi="宋体" w:cs="宋体"/>
                <w:color w:val="000000"/>
                <w:sz w:val="20"/>
                <w:szCs w:val="20"/>
              </w:rPr>
            </w:r>
            <w:r>
              <w:rPr>
                <w:rFonts w:ascii="宋体" w:hAnsi="宋体" w:cs="宋体"/>
                <w:color w:val="000000"/>
                <w:sz w:val="20"/>
                <w:szCs w:val="20"/>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27" w:type="dxa"/>
            <w:vAlign w:val="center"/>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 其中：财政拨款</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83"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150</w:t>
            </w:r>
            <w:r>
              <w:rPr>
                <w:rFonts w:ascii="宋体" w:hAnsi="宋体" w:cs="宋体"/>
                <w:color w:val="000000"/>
                <w:sz w:val="20"/>
                <w:szCs w:val="20"/>
              </w:rPr>
            </w:r>
            <w:r>
              <w:rPr>
                <w:rFonts w:ascii="宋体" w:hAnsi="宋体" w:cs="宋体"/>
                <w:color w:val="000000"/>
                <w:sz w:val="20"/>
                <w:szCs w:val="20"/>
              </w:rPr>
            </w:r>
          </w:p>
        </w:tc>
        <w:tc>
          <w:tcPr>
            <w:gridSpan w:val="3"/>
            <w:tcBorders>
              <w:top w:val="single" w:color="000000" w:sz="4" w:space="0"/>
              <w:left w:val="none" w:color="000000" w:sz="4" w:space="0"/>
              <w:bottom w:val="single" w:color="000000" w:sz="4" w:space="0"/>
              <w:right w:val="single" w:color="000000" w:sz="4" w:space="0"/>
            </w:tcBorders>
            <w:tcW w:w="175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43.83</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29.22%</w:t>
            </w:r>
            <w:r>
              <w:rPr>
                <w:rFonts w:ascii="宋体" w:hAnsi="宋体" w:cs="宋体"/>
                <w:color w:val="000000"/>
                <w:sz w:val="20"/>
                <w:szCs w:val="20"/>
              </w:rPr>
            </w:r>
            <w:r>
              <w:rPr>
                <w:rFonts w:ascii="宋体" w:hAnsi="宋体" w:cs="宋体"/>
                <w:color w:val="000000"/>
                <w:sz w:val="20"/>
                <w:szCs w:val="20"/>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27"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政府性基金</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83"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c>
          <w:tcPr>
            <w:gridSpan w:val="3"/>
            <w:tcBorders>
              <w:top w:val="single" w:color="000000" w:sz="4" w:space="0"/>
              <w:left w:val="none" w:color="000000" w:sz="4" w:space="0"/>
              <w:bottom w:val="single" w:color="000000" w:sz="4" w:space="0"/>
              <w:right w:val="single" w:color="000000" w:sz="4" w:space="0"/>
            </w:tcBorders>
            <w:tcW w:w="175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59"/>
        </w:trPr>
        <w:tc>
          <w:tcPr>
            <w:gridSpan w:val="3"/>
            <w:tcBorders>
              <w:top w:val="single" w:color="000000" w:sz="4" w:space="0"/>
              <w:left w:val="single" w:color="000000" w:sz="4" w:space="0"/>
              <w:bottom w:val="single" w:color="000000" w:sz="4" w:space="0"/>
              <w:right w:val="single" w:color="000000" w:sz="4" w:space="0"/>
            </w:tcBorders>
            <w:tcW w:w="2854"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其他资金包括结转结余</w:t>
            </w:r>
            <w:r>
              <w:rPr>
                <w:rFonts w:ascii="宋体" w:hAnsi="宋体" w:cs="宋体"/>
                <w:color w:val="000000"/>
                <w:sz w:val="20"/>
                <w:szCs w:val="20"/>
              </w:rPr>
            </w:r>
            <w:r>
              <w:rPr>
                <w:rFonts w:ascii="宋体" w:hAnsi="宋体" w:cs="宋体"/>
                <w:color w:val="000000"/>
                <w:sz w:val="20"/>
                <w:szCs w:val="20"/>
              </w:rPr>
            </w:r>
          </w:p>
        </w:tc>
        <w:tc>
          <w:tcPr>
            <w:gridSpan w:val="3"/>
            <w:tcBorders>
              <w:top w:val="single" w:color="000000" w:sz="4" w:space="0"/>
              <w:left w:val="none" w:color="000000" w:sz="4" w:space="0"/>
              <w:bottom w:val="single" w:color="000000" w:sz="4" w:space="0"/>
              <w:right w:val="single" w:color="000000" w:sz="4" w:space="0"/>
            </w:tcBorders>
            <w:tcW w:w="175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70"/>
        </w:trPr>
        <w:tc>
          <w:tcPr>
            <w:tcBorders>
              <w:top w:val="none" w:color="000000" w:sz="4" w:space="0"/>
              <w:left w:val="single" w:color="000000" w:sz="4" w:space="0"/>
              <w:bottom w:val="single" w:color="000000" w:sz="4" w:space="0"/>
              <w:right w:val="single" w:color="000000" w:sz="4" w:space="0"/>
            </w:tcBorders>
            <w:tcW w:w="917" w:type="dxa"/>
            <w:vAlign w:val="center"/>
            <w:vMerge w:val="restart"/>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年度总体目标</w:t>
            </w:r>
            <w:r>
              <w:rPr>
                <w:rFonts w:ascii="宋体" w:hAnsi="宋体" w:cs="宋体"/>
                <w:color w:val="000000"/>
                <w:sz w:val="20"/>
                <w:szCs w:val="20"/>
              </w:rPr>
            </w:r>
            <w:r>
              <w:rPr>
                <w:rFonts w:ascii="宋体" w:hAnsi="宋体" w:cs="宋体"/>
                <w:color w:val="000000"/>
                <w:sz w:val="20"/>
                <w:szCs w:val="20"/>
              </w:rPr>
            </w:r>
          </w:p>
        </w:tc>
        <w:tc>
          <w:tcPr>
            <w:gridSpan w:val="4"/>
            <w:tcBorders>
              <w:top w:val="single" w:color="000000" w:sz="4" w:space="0"/>
              <w:left w:val="none" w:color="000000" w:sz="4" w:space="0"/>
              <w:bottom w:val="single" w:color="000000" w:sz="4" w:space="0"/>
              <w:right w:val="single" w:color="000000" w:sz="4" w:space="0"/>
            </w:tcBorders>
            <w:tcW w:w="4247"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年初设定目标</w:t>
            </w:r>
            <w:r>
              <w:rPr>
                <w:rFonts w:ascii="宋体" w:hAnsi="宋体" w:cs="宋体"/>
                <w:color w:val="000000"/>
                <w:sz w:val="20"/>
                <w:szCs w:val="20"/>
              </w:rPr>
            </w:r>
            <w:r>
              <w:rPr>
                <w:rFonts w:ascii="宋体" w:hAnsi="宋体" w:cs="宋体"/>
                <w:color w:val="000000"/>
                <w:sz w:val="20"/>
                <w:szCs w:val="20"/>
              </w:rPr>
            </w:r>
          </w:p>
        </w:tc>
        <w:tc>
          <w:tcPr>
            <w:gridSpan w:val="4"/>
            <w:tcBorders>
              <w:top w:val="single" w:color="000000" w:sz="4" w:space="0"/>
              <w:left w:val="none" w:color="000000" w:sz="4" w:space="0"/>
              <w:bottom w:val="single" w:color="000000" w:sz="4" w:space="0"/>
              <w:right w:val="single" w:color="000000" w:sz="4" w:space="0"/>
            </w:tcBorders>
            <w:tcW w:w="326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全年实际完成情况</w:t>
            </w:r>
            <w:r>
              <w:rPr>
                <w:rFonts w:ascii="宋体" w:hAnsi="宋体" w:cs="宋体"/>
                <w:color w:val="000000"/>
                <w:sz w:val="20"/>
                <w:szCs w:val="20"/>
              </w:rPr>
            </w:r>
            <w:r>
              <w:rPr>
                <w:rFonts w:ascii="宋体" w:hAnsi="宋体" w:cs="宋体"/>
                <w:color w:val="000000"/>
                <w:sz w:val="20"/>
                <w:szCs w:val="20"/>
              </w:rPr>
            </w:r>
          </w:p>
        </w:tc>
      </w:tr>
      <w:tr>
        <w:trPr>
          <w:trHeight w:val="1350"/>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gridSpan w:val="4"/>
            <w:tcBorders>
              <w:top w:val="single" w:color="000000" w:sz="4" w:space="0"/>
              <w:left w:val="none" w:color="000000" w:sz="4" w:space="0"/>
              <w:bottom w:val="single" w:color="000000" w:sz="4" w:space="0"/>
              <w:right w:val="single" w:color="000000" w:sz="4" w:space="0"/>
            </w:tcBorders>
            <w:tcW w:w="4247" w:type="dxa"/>
            <w:vAlign w:val="top"/>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按照市委市政府关于投资和重点项目建设的重大工作部署，全力以赴推动投资和项目建设，力争全年投资增长16%、固定资产投资增幅在全省“保五争三”目标，省级重点项目、省领导督办重大产业项目开工率100%，市级重点项目开工率76%。</w:t>
            </w:r>
            <w:r>
              <w:rPr>
                <w:rFonts w:ascii="宋体" w:hAnsi="宋体" w:cs="宋体"/>
                <w:color w:val="000000"/>
                <w:sz w:val="20"/>
                <w:szCs w:val="20"/>
              </w:rPr>
            </w:r>
            <w:r>
              <w:rPr>
                <w:rFonts w:ascii="宋体" w:hAnsi="宋体" w:cs="宋体"/>
                <w:color w:val="000000"/>
                <w:sz w:val="20"/>
                <w:szCs w:val="20"/>
              </w:rPr>
            </w:r>
          </w:p>
        </w:tc>
        <w:tc>
          <w:tcPr>
            <w:gridSpan w:val="4"/>
            <w:tcBorders>
              <w:top w:val="single" w:color="000000" w:sz="4" w:space="0"/>
              <w:left w:val="none" w:color="000000" w:sz="4" w:space="0"/>
              <w:bottom w:val="single" w:color="000000" w:sz="4" w:space="0"/>
              <w:right w:val="single" w:color="000000" w:sz="4" w:space="0"/>
            </w:tcBorders>
            <w:tcW w:w="3265" w:type="dxa"/>
            <w:vAlign w:val="top"/>
            <w:textDirection w:val="lrTb"/>
            <w:noWrap w:val="false"/>
          </w:tcPr>
          <w:p>
            <w:pPr>
              <w:pStyle w:val="630"/>
              <w:widowControl w:val="true"/>
              <w:pBdr/>
              <w:spacing/>
              <w:ind/>
              <w:rPr>
                <w:rFonts w:ascii="宋体" w:hAnsi="宋体" w:cs="宋体"/>
                <w:color w:val="000000"/>
                <w:sz w:val="20"/>
                <w:szCs w:val="20"/>
              </w:rPr>
            </w:pPr>
            <w:r>
              <w:rPr>
                <w:rFonts w:hint="eastAsia" w:ascii="宋体" w:hAnsi="宋体" w:cs="宋体"/>
                <w:color w:val="000000"/>
                <w:sz w:val="20"/>
                <w:szCs w:val="20"/>
              </w:rPr>
              <w:t xml:space="preserve">2017年全市完成固定资产投资1133.5亿元,同比增长16.3%，超年度计划目标0.3个百分点，高于全省平均增幅5.3个百分点，增幅在全省市州列第4位。省级重点项目3个、省领导督办重大产业项目8个开工率超额，市级重点项目开工率87%。</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restart"/>
            <w:textDirection w:val="tbRlV"/>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绩效指标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787"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一级指标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二级指标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三级指标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年度指标值</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全年完成值</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未完成原因和改进措施</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restart"/>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产出指标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1150" w:type="dxa"/>
            <w:vAlign w:val="center"/>
            <w:vMerge w:val="restart"/>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数量指标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资金到位率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100%</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100%</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1150"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实际完成率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95%以上</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超额</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855"/>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质量指标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质量达标率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验收合格</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全部达成</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855"/>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时效指标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完成及时率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当年完成</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全部完成</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成本指标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成本节约率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0.01</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0.0134</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645"/>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restart"/>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效益指标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经济效益指标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项目库增长投资增长</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双增长</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全部达成</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社会效益指标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基础设施产业结构优化</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优化 </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全部达成</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single" w:color="000000" w:sz="4" w:space="0"/>
              <w:bottom w:val="single" w:color="000000" w:sz="4" w:space="0"/>
              <w:right w:val="single" w:color="000000" w:sz="4" w:space="0"/>
            </w:tcBorders>
            <w:tcW w:w="78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可持续影响指标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推动经济持续增长</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推进建设</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全部达成</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559"/>
        </w:trPr>
        <w:tc>
          <w:tcPr>
            <w:tcBorders>
              <w:top w:val="none" w:color="000000" w:sz="4" w:space="0"/>
              <w:left w:val="single" w:color="000000" w:sz="4" w:space="0"/>
              <w:bottom w:val="single" w:color="000000" w:sz="4" w:space="0"/>
              <w:right w:val="single" w:color="000000" w:sz="4" w:space="0"/>
            </w:tcBorders>
            <w:tcW w:w="917" w:type="dxa"/>
            <w:vAlign w:val="center"/>
            <w:vMerge w:val="continue"/>
            <w:textDirection w:val="lrTb"/>
            <w:noWrap w:val="false"/>
          </w:tcPr>
          <w:p>
            <w:pPr>
              <w:pStyle w:val="630"/>
              <w:widowControl w:val="true"/>
              <w:pBdr/>
              <w:spacing/>
              <w:ind/>
              <w:jc w:val="left"/>
              <w:rPr>
                <w:rFonts w:ascii="宋体" w:hAnsi="宋体" w:cs="宋体"/>
                <w:color w:val="000000"/>
                <w:sz w:val="20"/>
                <w:szCs w:val="20"/>
              </w:rPr>
            </w:pP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787"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满意度指标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15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服务对象满意度指标</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23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市民满意度提升</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925"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基本满意</w:t>
            </w:r>
            <w:r>
              <w:rPr>
                <w:rFonts w:ascii="宋体" w:hAnsi="宋体" w:cs="宋体"/>
                <w:color w:val="000000"/>
                <w:sz w:val="20"/>
                <w:szCs w:val="20"/>
              </w:rPr>
            </w:r>
            <w:r>
              <w:rPr>
                <w:rFonts w:ascii="宋体" w:hAnsi="宋体" w:cs="宋体"/>
                <w:color w:val="000000"/>
                <w:sz w:val="20"/>
                <w:szCs w:val="20"/>
              </w:rPr>
            </w:r>
          </w:p>
        </w:tc>
        <w:tc>
          <w:tcPr>
            <w:gridSpan w:val="2"/>
            <w:tcBorders>
              <w:top w:val="single" w:color="000000" w:sz="4" w:space="0"/>
              <w:left w:val="none" w:color="000000" w:sz="4" w:space="0"/>
              <w:bottom w:val="single" w:color="000000" w:sz="4" w:space="0"/>
              <w:right w:val="single" w:color="000000" w:sz="4" w:space="0"/>
            </w:tcBorders>
            <w:tcW w:w="83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基本达成</w:t>
            </w:r>
            <w:r>
              <w:rPr>
                <w:rFonts w:ascii="宋体" w:hAnsi="宋体" w:cs="宋体"/>
                <w:color w:val="000000"/>
                <w:sz w:val="20"/>
                <w:szCs w:val="20"/>
              </w:rPr>
            </w:r>
            <w:r>
              <w:rPr>
                <w:rFonts w:ascii="宋体" w:hAnsi="宋体" w:cs="宋体"/>
                <w:color w:val="000000"/>
                <w:sz w:val="20"/>
                <w:szCs w:val="20"/>
              </w:rPr>
            </w:r>
          </w:p>
        </w:tc>
        <w:tc>
          <w:tcPr>
            <w:tcBorders>
              <w:top w:val="none" w:color="000000" w:sz="4" w:space="0"/>
              <w:left w:val="none" w:color="000000" w:sz="4" w:space="0"/>
              <w:bottom w:val="single" w:color="000000" w:sz="4" w:space="0"/>
              <w:right w:val="single" w:color="000000" w:sz="4" w:space="0"/>
            </w:tcBorders>
            <w:tcW w:w="1510"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　</w:t>
            </w:r>
            <w:r>
              <w:rPr>
                <w:rFonts w:ascii="宋体" w:hAnsi="宋体" w:cs="宋体"/>
                <w:color w:val="000000"/>
                <w:sz w:val="20"/>
                <w:szCs w:val="20"/>
              </w:rPr>
            </w:r>
            <w:r>
              <w:rPr>
                <w:rFonts w:ascii="宋体" w:hAnsi="宋体" w:cs="宋体"/>
                <w:color w:val="000000"/>
                <w:sz w:val="20"/>
                <w:szCs w:val="20"/>
              </w:rPr>
            </w:r>
          </w:p>
        </w:tc>
      </w:tr>
      <w:tr>
        <w:trPr>
          <w:trHeight w:val="675"/>
        </w:trPr>
        <w:tc>
          <w:tcPr>
            <w:tcBorders>
              <w:top w:val="none" w:color="000000" w:sz="4" w:space="0"/>
              <w:left w:val="single" w:color="000000" w:sz="4" w:space="0"/>
              <w:bottom w:val="single" w:color="000000" w:sz="4" w:space="0"/>
              <w:right w:val="single" w:color="000000" w:sz="4" w:space="0"/>
            </w:tcBorders>
            <w:tcW w:w="917" w:type="dxa"/>
            <w:vAlign w:val="center"/>
            <w:textDirection w:val="lrTb"/>
            <w:noWrap w:val="false"/>
          </w:tcPr>
          <w:p>
            <w:pPr>
              <w:pStyle w:val="630"/>
              <w:widowControl w:val="true"/>
              <w:pBdr/>
              <w:spacing/>
              <w:ind/>
              <w:jc w:val="center"/>
              <w:rPr>
                <w:rFonts w:ascii="宋体" w:hAnsi="宋体" w:cs="宋体"/>
                <w:color w:val="000000"/>
                <w:sz w:val="20"/>
                <w:szCs w:val="20"/>
              </w:rPr>
            </w:pPr>
            <w:r>
              <w:rPr>
                <w:rFonts w:hint="eastAsia" w:ascii="宋体" w:hAnsi="宋体" w:cs="宋体"/>
                <w:color w:val="000000"/>
                <w:sz w:val="20"/>
                <w:szCs w:val="20"/>
              </w:rPr>
              <w:t xml:space="preserve">说明</w:t>
            </w:r>
            <w:r>
              <w:rPr>
                <w:rFonts w:ascii="宋体" w:hAnsi="宋体" w:cs="宋体"/>
                <w:color w:val="000000"/>
                <w:sz w:val="20"/>
                <w:szCs w:val="20"/>
              </w:rPr>
            </w:r>
            <w:r>
              <w:rPr>
                <w:rFonts w:ascii="宋体" w:hAnsi="宋体" w:cs="宋体"/>
                <w:color w:val="000000"/>
                <w:sz w:val="20"/>
                <w:szCs w:val="20"/>
              </w:rPr>
            </w:r>
          </w:p>
        </w:tc>
        <w:tc>
          <w:tcPr>
            <w:gridSpan w:val="8"/>
            <w:tcBorders>
              <w:top w:val="single" w:color="000000" w:sz="4" w:space="0"/>
              <w:left w:val="none" w:color="000000" w:sz="4" w:space="0"/>
              <w:bottom w:val="single" w:color="000000" w:sz="4" w:space="0"/>
              <w:right w:val="single" w:color="000000" w:sz="4" w:space="0"/>
            </w:tcBorders>
            <w:tcW w:w="7512" w:type="dxa"/>
            <w:vAlign w:val="top"/>
            <w:textDirection w:val="lrTb"/>
            <w:noWrap w:val="false"/>
          </w:tcPr>
          <w:p>
            <w:pPr>
              <w:pStyle w:val="630"/>
              <w:widowControl w:val="true"/>
              <w:pBdr/>
              <w:spacing/>
              <w:ind/>
              <w:jc w:val="left"/>
              <w:rPr>
                <w:rFonts w:ascii="宋体" w:hAnsi="宋体" w:cs="宋体"/>
                <w:color w:val="000000"/>
                <w:sz w:val="20"/>
                <w:szCs w:val="20"/>
              </w:rPr>
            </w:pPr>
            <w:r>
              <w:rPr>
                <w:rFonts w:hint="eastAsia" w:ascii="宋体" w:hAnsi="宋体" w:cs="宋体"/>
                <w:color w:val="000000"/>
                <w:sz w:val="20"/>
                <w:szCs w:val="20"/>
              </w:rPr>
              <w:t xml:space="preserve">资金结余过大，反映预算不精准；自评价指标体系不够量化、明确；项目资金未分类明细核算。酌量扣8分。总分92分。</w:t>
            </w:r>
            <w:r>
              <w:rPr>
                <w:rFonts w:ascii="宋体" w:hAnsi="宋体" w:cs="宋体"/>
                <w:color w:val="000000"/>
                <w:sz w:val="20"/>
                <w:szCs w:val="20"/>
              </w:rPr>
            </w:r>
            <w:r>
              <w:rPr>
                <w:rFonts w:ascii="宋体" w:hAnsi="宋体" w:cs="宋体"/>
                <w:color w:val="000000"/>
                <w:sz w:val="20"/>
                <w:szCs w:val="20"/>
              </w:rPr>
            </w:r>
          </w:p>
        </w:tc>
      </w:tr>
      <w:tr>
        <w:trPr>
          <w:trHeight w:val="585"/>
        </w:trPr>
        <w:tc>
          <w:tcPr>
            <w:tcBorders>
              <w:top w:val="none" w:color="000000" w:sz="4" w:space="0"/>
              <w:left w:val="none" w:color="000000" w:sz="4" w:space="0"/>
              <w:bottom w:val="none" w:color="000000" w:sz="4" w:space="0"/>
              <w:right w:val="none" w:color="000000" w:sz="4" w:space="0"/>
            </w:tcBorders>
            <w:tcW w:w="917"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787"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150"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127"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183"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925"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415"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415"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510" w:type="dxa"/>
            <w:vAlign w:val="center"/>
            <w:textDirection w:val="lrTb"/>
            <w:noWrap w:val="false"/>
          </w:tcPr>
          <w:p>
            <w:pPr>
              <w:pStyle w:val="630"/>
              <w:widowControl w:val="true"/>
              <w:pBdr/>
              <w:spacing/>
              <w:ind/>
              <w:jc w:val="left"/>
              <w:rPr>
                <w:color w:val="000000"/>
                <w:sz w:val="20"/>
                <w:szCs w:val="20"/>
              </w:rPr>
            </w:pPr>
            <w:r>
              <w:rPr>
                <w:color w:val="000000"/>
                <w:sz w:val="20"/>
                <w:szCs w:val="20"/>
              </w:rPr>
            </w:r>
            <w:r>
              <w:rPr>
                <w:color w:val="000000"/>
                <w:sz w:val="20"/>
                <w:szCs w:val="20"/>
              </w:rPr>
            </w:r>
          </w:p>
        </w:tc>
      </w:tr>
      <w:tr>
        <w:trPr>
          <w:trHeight w:val="540"/>
        </w:trPr>
        <w:tc>
          <w:tcPr>
            <w:gridSpan w:val="9"/>
            <w:tcBorders>
              <w:top w:val="none" w:color="000000" w:sz="4" w:space="0"/>
              <w:left w:val="none" w:color="000000" w:sz="4" w:space="0"/>
              <w:bottom w:val="none" w:color="000000" w:sz="4" w:space="0"/>
              <w:right w:val="none" w:color="000000" w:sz="4" w:space="0"/>
            </w:tcBorders>
            <w:tcW w:w="8429" w:type="dxa"/>
            <w:vAlign w:val="center"/>
            <w:textDirection w:val="lrTb"/>
            <w:noWrap w:val="false"/>
          </w:tcPr>
          <w:p>
            <w:pPr>
              <w:pStyle w:val="630"/>
              <w:widowControl w:val="true"/>
              <w:pBdr/>
              <w:spacing/>
              <w:ind/>
              <w:jc w:val="left"/>
              <w:rPr>
                <w:rFonts w:ascii="仿宋_GB2312" w:hAnsi="宋体" w:eastAsia="仿宋_GB2312" w:cs="宋体"/>
                <w:color w:val="000000"/>
                <w:szCs w:val="21"/>
              </w:rPr>
            </w:pPr>
            <w:r>
              <w:rPr>
                <w:rFonts w:hint="eastAsia" w:ascii="仿宋_GB2312" w:hAnsi="宋体" w:eastAsia="仿宋_GB2312" w:cs="宋体"/>
                <w:color w:val="000000"/>
                <w:szCs w:val="21"/>
              </w:rPr>
              <w:t xml:space="preserve">注：</w:t>
            </w:r>
            <w:r>
              <w:rPr>
                <w:rFonts w:eastAsia="仿宋_GB2312"/>
                <w:color w:val="000000"/>
                <w:szCs w:val="21"/>
              </w:rPr>
              <w:t xml:space="preserve">1.</w:t>
            </w:r>
            <w:r>
              <w:rPr>
                <w:rFonts w:hint="eastAsia" w:ascii="仿宋_GB2312" w:hAnsi="宋体" w:eastAsia="仿宋_GB2312" w:cs="宋体"/>
                <w:color w:val="000000"/>
                <w:szCs w:val="21"/>
              </w:rPr>
              <w:t xml:space="preserve">定量指标，资金使用单位填写本单位实际完成数。主管部门汇总时，对绝对值直接累加计算，相对值按照资金额度加权平均计算。</w:t>
            </w:r>
            <w:r>
              <w:rPr>
                <w:rFonts w:ascii="仿宋_GB2312" w:hAnsi="宋体" w:eastAsia="仿宋_GB2312" w:cs="宋体"/>
                <w:color w:val="000000"/>
                <w:szCs w:val="21"/>
              </w:rPr>
            </w:r>
            <w:r>
              <w:rPr>
                <w:rFonts w:ascii="仿宋_GB2312" w:hAnsi="宋体" w:eastAsia="仿宋_GB2312" w:cs="宋体"/>
                <w:color w:val="000000"/>
                <w:szCs w:val="21"/>
              </w:rPr>
            </w:r>
          </w:p>
        </w:tc>
      </w:tr>
      <w:tr>
        <w:trPr>
          <w:trHeight w:val="570"/>
        </w:trPr>
        <w:tc>
          <w:tcPr>
            <w:gridSpan w:val="9"/>
            <w:tcBorders>
              <w:top w:val="none" w:color="000000" w:sz="4" w:space="0"/>
              <w:left w:val="none" w:color="000000" w:sz="4" w:space="0"/>
              <w:bottom w:val="none" w:color="000000" w:sz="4" w:space="0"/>
              <w:right w:val="none" w:color="000000" w:sz="4" w:space="0"/>
            </w:tcBorders>
            <w:tcW w:w="8429" w:type="dxa"/>
            <w:vAlign w:val="center"/>
            <w:textDirection w:val="lrTb"/>
            <w:noWrap w:val="false"/>
          </w:tcPr>
          <w:p>
            <w:pPr>
              <w:pStyle w:val="630"/>
              <w:widowControl w:val="true"/>
              <w:pBdr/>
              <w:spacing/>
              <w:ind/>
              <w:jc w:val="left"/>
              <w:rPr>
                <w:color w:val="000000"/>
                <w:szCs w:val="21"/>
              </w:rPr>
            </w:pPr>
            <w:r>
              <w:rPr>
                <w:color w:val="000000"/>
                <w:szCs w:val="21"/>
              </w:rPr>
              <w:t xml:space="preserve">       2.</w:t>
            </w:r>
            <w:r>
              <w:rPr>
                <w:rFonts w:hint="eastAsia" w:ascii="仿宋_GB2312" w:eastAsia="仿宋_GB2312"/>
                <w:color w:val="000000"/>
                <w:szCs w:val="21"/>
              </w:rPr>
              <w:t xml:space="preserve">定性指标根据指标完成情况分为：全部或基本达成预期指标、部分达成预期指标并具有一定效果、未达成预期指标且效果较差三档，分别按照</w:t>
            </w:r>
            <w:r>
              <w:rPr>
                <w:color w:val="000000"/>
                <w:szCs w:val="21"/>
              </w:rPr>
              <w:t xml:space="preserve">100%-80%</w:t>
            </w:r>
            <w:r>
              <w:rPr>
                <w:rFonts w:hint="eastAsia" w:ascii="仿宋_GB2312" w:eastAsia="仿宋_GB2312"/>
                <w:color w:val="000000"/>
                <w:szCs w:val="21"/>
              </w:rPr>
              <w:t xml:space="preserve">（含）、</w:t>
            </w:r>
            <w:r>
              <w:rPr>
                <w:color w:val="000000"/>
                <w:szCs w:val="21"/>
              </w:rPr>
              <w:t xml:space="preserve">80%-60%</w:t>
            </w:r>
            <w:r>
              <w:rPr>
                <w:rFonts w:hint="eastAsia" w:ascii="仿宋_GB2312" w:eastAsia="仿宋_GB2312"/>
                <w:color w:val="000000"/>
                <w:szCs w:val="21"/>
              </w:rPr>
              <w:t xml:space="preserve">（含）、</w:t>
            </w:r>
            <w:r>
              <w:rPr>
                <w:color w:val="000000"/>
                <w:szCs w:val="21"/>
              </w:rPr>
              <w:t xml:space="preserve">60-0%</w:t>
            </w:r>
            <w:r>
              <w:rPr>
                <w:rFonts w:hint="eastAsia" w:ascii="仿宋_GB2312" w:eastAsia="仿宋_GB2312"/>
                <w:color w:val="000000"/>
                <w:szCs w:val="21"/>
              </w:rPr>
              <w:t xml:space="preserve">合理填写完成比例。</w:t>
            </w:r>
            <w:r>
              <w:rPr>
                <w:color w:val="000000"/>
                <w:szCs w:val="21"/>
              </w:rPr>
            </w:r>
            <w:r>
              <w:rPr>
                <w:color w:val="000000"/>
                <w:szCs w:val="21"/>
              </w:rPr>
            </w:r>
          </w:p>
        </w:tc>
      </w:tr>
      <w:tr>
        <w:trPr>
          <w:trHeight w:val="270"/>
        </w:trPr>
        <w:tc>
          <w:tcPr>
            <w:gridSpan w:val="9"/>
            <w:tcBorders>
              <w:top w:val="none" w:color="000000" w:sz="4" w:space="0"/>
              <w:left w:val="none" w:color="000000" w:sz="4" w:space="0"/>
              <w:bottom w:val="none" w:color="000000" w:sz="4" w:space="0"/>
              <w:right w:val="none" w:color="000000" w:sz="4" w:space="0"/>
            </w:tcBorders>
            <w:tcW w:w="8429" w:type="dxa"/>
            <w:vAlign w:val="center"/>
            <w:textDirection w:val="lrTb"/>
            <w:noWrap w:val="false"/>
          </w:tcPr>
          <w:p>
            <w:pPr>
              <w:pStyle w:val="630"/>
              <w:widowControl w:val="true"/>
              <w:pBdr/>
              <w:spacing/>
              <w:ind/>
              <w:jc w:val="left"/>
              <w:rPr>
                <w:color w:val="000000"/>
                <w:szCs w:val="21"/>
              </w:rPr>
            </w:pPr>
            <w:r>
              <w:rPr>
                <w:color w:val="000000"/>
                <w:szCs w:val="21"/>
              </w:rPr>
              <w:t xml:space="preserve">       3.</w:t>
            </w:r>
            <w:r>
              <w:rPr>
                <w:rFonts w:hint="eastAsia" w:ascii="仿宋_GB2312" w:eastAsia="仿宋_GB2312"/>
                <w:color w:val="000000"/>
                <w:szCs w:val="21"/>
              </w:rPr>
              <w:t xml:space="preserve">资金使用单位按项目填报，主管部门汇总时按总体绩效目标填报。</w:t>
            </w:r>
            <w:r>
              <w:rPr>
                <w:color w:val="000000"/>
                <w:szCs w:val="21"/>
              </w:rPr>
            </w:r>
            <w:r>
              <w:rPr>
                <w:color w:val="000000"/>
                <w:szCs w:val="21"/>
              </w:rPr>
            </w:r>
          </w:p>
        </w:tc>
      </w:tr>
    </w:tbl>
    <w:sectPr>
      <w:footerReference w:type="default" r:id="rId8"/>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楷体_GB2312">
    <w:panose1 w:val="02010609060101010101"/>
  </w:font>
  <w:font w:name="方正小标宋简体">
    <w:panose1 w:val="020B0604020202020204"/>
  </w:font>
  <w:font w:name="仿宋_GB2312">
    <w:panose1 w:val="02010609060101010101"/>
  </w:font>
  <w:font w:name="Arial">
    <w:panose1 w:val="020B0604020202020204"/>
  </w:font>
  <w:font w:name="等线">
    <w:panose1 w:val="02010600030101010101"/>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39"/>
      <w:pBdr/>
      <w:tabs>
        <w:tab w:val="center" w:leader="none" w:pos="4153"/>
        <w:tab w:val="right" w:leader="none" w:pos="8306"/>
      </w:tabs>
      <w:spacing/>
      <w:ind/>
      <w:jc w:val="center"/>
      <w:rPr/>
    </w:pPr>
    <w:r>
      <w:fldChar w:fldCharType="begin"/>
    </w:r>
    <w:r>
      <w:rPr>
        <w:rStyle w:val="634"/>
      </w:rPr>
      <w:instrText xml:space="preserve"> PAGE </w:instrText>
    </w:r>
    <w:r>
      <w:fldChar w:fldCharType="separate"/>
    </w:r>
    <w:r>
      <w:rPr>
        <w:rStyle w:val="634"/>
      </w:rPr>
      <w:t xml:space="preserve">- 7 -</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30"/>
    <w:next w:val="63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30"/>
    <w:next w:val="63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30"/>
    <w:next w:val="63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30"/>
    <w:next w:val="63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30"/>
    <w:next w:val="63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30"/>
    <w:next w:val="63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30"/>
    <w:next w:val="63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30"/>
    <w:next w:val="63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30"/>
    <w:next w:val="63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3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30"/>
    <w:next w:val="63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30"/>
    <w:next w:val="63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30"/>
    <w:next w:val="63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30"/>
    <w:next w:val="63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3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3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30"/>
    <w:next w:val="63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3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3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30"/>
    <w:next w:val="630"/>
    <w:uiPriority w:val="39"/>
    <w:unhideWhenUsed/>
    <w:pPr>
      <w:pBdr/>
      <w:spacing w:after="57"/>
      <w:ind w:right="0" w:firstLine="0" w:left="0"/>
    </w:pPr>
  </w:style>
  <w:style w:type="paragraph" w:styleId="182">
    <w:name w:val="toc 2"/>
    <w:basedOn w:val="630"/>
    <w:next w:val="630"/>
    <w:uiPriority w:val="39"/>
    <w:unhideWhenUsed/>
    <w:pPr>
      <w:pBdr/>
      <w:spacing w:after="57"/>
      <w:ind w:right="0" w:firstLine="0" w:left="283"/>
    </w:pPr>
  </w:style>
  <w:style w:type="paragraph" w:styleId="183">
    <w:name w:val="toc 3"/>
    <w:basedOn w:val="630"/>
    <w:next w:val="630"/>
    <w:uiPriority w:val="39"/>
    <w:unhideWhenUsed/>
    <w:pPr>
      <w:pBdr/>
      <w:spacing w:after="57"/>
      <w:ind w:right="0" w:firstLine="0" w:left="567"/>
    </w:pPr>
  </w:style>
  <w:style w:type="paragraph" w:styleId="184">
    <w:name w:val="toc 4"/>
    <w:basedOn w:val="630"/>
    <w:next w:val="630"/>
    <w:uiPriority w:val="39"/>
    <w:unhideWhenUsed/>
    <w:pPr>
      <w:pBdr/>
      <w:spacing w:after="57"/>
      <w:ind w:right="0" w:firstLine="0" w:left="850"/>
    </w:pPr>
  </w:style>
  <w:style w:type="paragraph" w:styleId="185">
    <w:name w:val="toc 5"/>
    <w:basedOn w:val="630"/>
    <w:next w:val="630"/>
    <w:uiPriority w:val="39"/>
    <w:unhideWhenUsed/>
    <w:pPr>
      <w:pBdr/>
      <w:spacing w:after="57"/>
      <w:ind w:right="0" w:firstLine="0" w:left="1134"/>
    </w:pPr>
  </w:style>
  <w:style w:type="paragraph" w:styleId="186">
    <w:name w:val="toc 6"/>
    <w:basedOn w:val="630"/>
    <w:next w:val="630"/>
    <w:uiPriority w:val="39"/>
    <w:unhideWhenUsed/>
    <w:pPr>
      <w:pBdr/>
      <w:spacing w:after="57"/>
      <w:ind w:right="0" w:firstLine="0" w:left="1417"/>
    </w:pPr>
  </w:style>
  <w:style w:type="paragraph" w:styleId="187">
    <w:name w:val="toc 7"/>
    <w:basedOn w:val="630"/>
    <w:next w:val="630"/>
    <w:uiPriority w:val="39"/>
    <w:unhideWhenUsed/>
    <w:pPr>
      <w:pBdr/>
      <w:spacing w:after="57"/>
      <w:ind w:right="0" w:firstLine="0" w:left="1701"/>
    </w:pPr>
  </w:style>
  <w:style w:type="paragraph" w:styleId="188">
    <w:name w:val="toc 8"/>
    <w:basedOn w:val="630"/>
    <w:next w:val="630"/>
    <w:uiPriority w:val="39"/>
    <w:unhideWhenUsed/>
    <w:pPr>
      <w:pBdr/>
      <w:spacing w:after="57"/>
      <w:ind w:right="0" w:firstLine="0" w:left="1984"/>
    </w:pPr>
  </w:style>
  <w:style w:type="paragraph" w:styleId="189">
    <w:name w:val="toc 9"/>
    <w:basedOn w:val="630"/>
    <w:next w:val="63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30"/>
    <w:next w:val="630"/>
    <w:uiPriority w:val="99"/>
    <w:unhideWhenUsed/>
    <w:pPr>
      <w:pBdr/>
      <w:spacing w:after="0" w:afterAutospacing="0"/>
      <w:ind/>
    </w:pPr>
  </w:style>
  <w:style w:type="paragraph" w:styleId="630" w:default="1">
    <w:name w:val="Normal"/>
    <w:next w:val="630"/>
    <w:link w:val="630"/>
    <w:qFormat/>
    <w:pPr>
      <w:widowControl w:val="false"/>
      <w:pBdr/>
      <w:spacing/>
      <w:ind/>
      <w:jc w:val="both"/>
    </w:pPr>
    <w:rPr>
      <w:sz w:val="21"/>
      <w:szCs w:val="24"/>
      <w:lang w:val="en-US" w:eastAsia="zh-CN" w:bidi="ar-SA"/>
    </w:rPr>
  </w:style>
  <w:style w:type="character" w:styleId="631">
    <w:name w:val="默认段落字体"/>
    <w:next w:val="631"/>
    <w:link w:val="630"/>
    <w:semiHidden/>
    <w:pPr>
      <w:pBdr/>
      <w:spacing/>
      <w:ind/>
    </w:pPr>
  </w:style>
  <w:style w:type="table" w:styleId="632">
    <w:name w:val="普通表格"/>
    <w:next w:val="632"/>
    <w:link w:val="630"/>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33">
    <w:name w:val="强调"/>
    <w:next w:val="633"/>
    <w:link w:val="630"/>
    <w:qFormat/>
    <w:pPr>
      <w:pBdr/>
      <w:spacing/>
      <w:ind/>
    </w:pPr>
    <w:rPr>
      <w:i/>
      <w:iCs/>
    </w:rPr>
  </w:style>
  <w:style w:type="character" w:styleId="634">
    <w:name w:val="页码"/>
    <w:basedOn w:val="631"/>
    <w:next w:val="634"/>
    <w:link w:val="630"/>
    <w:pPr>
      <w:pBdr/>
      <w:spacing/>
      <w:ind/>
    </w:pPr>
  </w:style>
  <w:style w:type="character" w:styleId="635">
    <w:name w:val="要点"/>
    <w:next w:val="635"/>
    <w:link w:val="630"/>
    <w:qFormat/>
    <w:pPr>
      <w:pBdr/>
      <w:spacing/>
      <w:ind/>
    </w:pPr>
    <w:rPr>
      <w:rFonts w:cs="Times New Roman"/>
      <w:b/>
      <w:bCs/>
    </w:rPr>
  </w:style>
  <w:style w:type="character" w:styleId="636">
    <w:name w:val="newtimefactor_before_abs m"/>
    <w:basedOn w:val="631"/>
    <w:next w:val="636"/>
    <w:link w:val="630"/>
    <w:pPr>
      <w:pBdr/>
      <w:spacing/>
      <w:ind/>
    </w:pPr>
  </w:style>
  <w:style w:type="paragraph" w:styleId="637">
    <w:name w:val="普通(网站)"/>
    <w:basedOn w:val="630"/>
    <w:next w:val="637"/>
    <w:link w:val="630"/>
    <w:semiHidden/>
    <w:pPr>
      <w:widowControl w:val="true"/>
      <w:pBdr/>
      <w:spacing w:after="100" w:afterAutospacing="1" w:before="100" w:beforeAutospacing="1"/>
      <w:ind/>
      <w:jc w:val="left"/>
    </w:pPr>
    <w:rPr>
      <w:rFonts w:ascii="宋体" w:hAnsi="宋体" w:cs="宋体"/>
      <w:sz w:val="24"/>
    </w:rPr>
  </w:style>
  <w:style w:type="paragraph" w:styleId="638">
    <w:name w:val="页眉"/>
    <w:basedOn w:val="630"/>
    <w:next w:val="638"/>
    <w:link w:val="630"/>
    <w:pPr>
      <w:pBdr>
        <w:bottom w:val="single" w:color="000000" w:sz="6" w:space="1"/>
      </w:pBdr>
      <w:tabs>
        <w:tab w:val="center" w:leader="none" w:pos="4153"/>
        <w:tab w:val="right" w:leader="none" w:pos="8306"/>
      </w:tabs>
      <w:spacing/>
      <w:ind/>
      <w:jc w:val="center"/>
    </w:pPr>
    <w:rPr>
      <w:sz w:val="18"/>
      <w:szCs w:val="18"/>
    </w:rPr>
  </w:style>
  <w:style w:type="paragraph" w:styleId="639">
    <w:name w:val="页脚"/>
    <w:basedOn w:val="630"/>
    <w:next w:val="639"/>
    <w:link w:val="630"/>
    <w:pPr>
      <w:pBdr/>
      <w:tabs>
        <w:tab w:val="center" w:leader="none" w:pos="4153"/>
        <w:tab w:val="right" w:leader="none" w:pos="8306"/>
      </w:tabs>
      <w:spacing/>
      <w:ind/>
      <w:jc w:val="left"/>
    </w:pPr>
    <w:rPr>
      <w:sz w:val="18"/>
      <w:szCs w:val="18"/>
    </w:rPr>
  </w:style>
  <w:style w:type="table" w:styleId="640">
    <w:name w:val="网格型"/>
    <w:basedOn w:val="632"/>
    <w:next w:val="640"/>
    <w:link w:val="630"/>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2466" w:default="1">
    <w:name w:val="Default Paragraph Font"/>
    <w:uiPriority w:val="1"/>
    <w:semiHidden/>
    <w:unhideWhenUsed/>
    <w:pPr>
      <w:pBdr/>
      <w:spacing/>
      <w:ind/>
    </w:pPr>
  </w:style>
  <w:style w:type="numbering" w:styleId="2467" w:default="1">
    <w:name w:val="No List"/>
    <w:uiPriority w:val="99"/>
    <w:semiHidden/>
    <w:unhideWhenUsed/>
    <w:pPr>
      <w:pBdr/>
      <w:spacing/>
      <w:ind/>
    </w:pPr>
  </w:style>
  <w:style w:type="table" w:styleId="2468"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项目前期工作经</dc:title>
  <dc:creator>微软</dc:creator>
  <cp:lastModifiedBy>匿名</cp:lastModifiedBy>
  <cp:revision>26</cp:revision>
  <dcterms:created xsi:type="dcterms:W3CDTF">2018-09-27T13:42:00Z</dcterms:created>
  <dcterms:modified xsi:type="dcterms:W3CDTF">2024-12-31T06:44:32Z</dcterms:modified>
</cp:coreProperties>
</file>