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360" w:lineRule="auto"/>
        <w:ind w:firstLine="883"/>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44"/>
          <w:szCs w:val="44"/>
        </w:rPr>
        <w:t xml:space="preserve"> </w:t>
      </w:r>
      <w:r>
        <w:rPr>
          <w:rFonts w:hint="eastAsia" w:asciiTheme="majorEastAsia" w:hAnsiTheme="majorEastAsia" w:eastAsiaTheme="majorEastAsia" w:cstheme="majorEastAsia"/>
          <w:b/>
          <w:bCs/>
          <w:sz w:val="36"/>
          <w:szCs w:val="36"/>
        </w:rPr>
        <w:t xml:space="preserve">2018年市直部门</w:t>
      </w:r>
      <w:bookmarkStart w:id="33" w:name="_GoBack"/>
      <w:r>
        <w:rPr>
          <w:rFonts w:hint="eastAsia" w:asciiTheme="majorEastAsia" w:hAnsiTheme="majorEastAsia" w:eastAsiaTheme="majorEastAsia" w:cstheme="majorEastAsia"/>
          <w:b/>
          <w:bCs/>
          <w:sz w:val="36"/>
          <w:szCs w:val="36"/>
        </w:rPr>
        <w:t xml:space="preserve">整体支出绩效自评报告</w:t>
      </w:r>
      <w:bookmarkEnd w:id="33"/>
      <w:r>
        <w:rPr>
          <w:rFonts w:asciiTheme="majorEastAsia" w:hAnsiTheme="majorEastAsia" w:eastAsiaTheme="majorEastAsia" w:cstheme="majorEastAsia"/>
          <w:sz w:val="36"/>
          <w:szCs w:val="36"/>
        </w:rPr>
      </w:r>
    </w:p>
    <w:p>
      <w:pPr>
        <w:pBdr/>
        <w:spacing w:line="360" w:lineRule="auto"/>
        <w:ind w:firstLine="562"/>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（随州市统计局）</w:t>
      </w:r>
      <w:r>
        <w:rPr>
          <w:rFonts w:asciiTheme="majorEastAsia" w:hAnsiTheme="majorEastAsia" w:eastAsiaTheme="majorEastAsia" w:cstheme="majorEastAsia"/>
          <w:b/>
          <w:bCs/>
          <w:sz w:val="28"/>
          <w:szCs w:val="28"/>
        </w:rPr>
      </w:r>
    </w:p>
    <w:p>
      <w:pPr>
        <w:pBdr/>
        <w:spacing w:after="506" w:line="360" w:lineRule="auto"/>
        <w:ind/>
        <w:contextualSpacing w:val="true"/>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一、绩效自评得分及绩效等级情况</w:t>
      </w:r>
      <w:r>
        <w:rPr>
          <w:rFonts w:asciiTheme="majorEastAsia" w:hAnsiTheme="majorEastAsia" w:eastAsiaTheme="majorEastAsia" w:cstheme="majorEastAsia"/>
          <w:b/>
          <w:bCs/>
          <w:sz w:val="24"/>
          <w:szCs w:val="24"/>
        </w:rPr>
      </w:r>
    </w:p>
    <w:p>
      <w:pPr>
        <w:pBdr/>
        <w:spacing w:after="506" w:line="360" w:lineRule="auto"/>
        <w:ind w:firstLine="480"/>
        <w:contextualSpacing w:val="tru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1.1 自评得分</w:t>
      </w:r>
      <w:r>
        <w:rPr>
          <w:rFonts w:asciiTheme="majorEastAsia" w:hAnsiTheme="majorEastAsia" w:eastAsiaTheme="majorEastAsia" w:cstheme="majorEastAsia"/>
          <w:sz w:val="24"/>
          <w:szCs w:val="24"/>
        </w:rPr>
      </w:r>
    </w:p>
    <w:p>
      <w:pPr>
        <w:pBdr/>
        <w:spacing w:after="506" w:line="360" w:lineRule="auto"/>
        <w:ind w:firstLine="561" w:left="-17"/>
        <w:contextualSpacing w:val="tru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通过评价分析，2017年度随州市统计局部门整体绩效自评得分</w:t>
      </w:r>
      <w:r>
        <w:rPr>
          <w:rFonts w:hint="eastAsia" w:asciiTheme="majorEastAsia" w:hAnsiTheme="majorEastAsia" w:eastAsiaTheme="majorEastAsia" w:cstheme="majorEastAsia"/>
          <w:color w:val="ff0000"/>
          <w:sz w:val="24"/>
          <w:szCs w:val="24"/>
        </w:rPr>
        <w:t xml:space="preserve">93分</w:t>
      </w:r>
      <w:r>
        <w:rPr>
          <w:rFonts w:hint="eastAsia" w:asciiTheme="majorEastAsia" w:hAnsiTheme="majorEastAsia" w:eastAsiaTheme="majorEastAsia" w:cstheme="majorEastAsia"/>
          <w:sz w:val="24"/>
          <w:szCs w:val="24"/>
        </w:rPr>
        <w:t xml:space="preserve">。</w:t>
      </w:r>
      <w:r>
        <w:rPr>
          <w:rFonts w:asciiTheme="majorEastAsia" w:hAnsiTheme="majorEastAsia" w:eastAsiaTheme="majorEastAsia" w:cstheme="majorEastAsia"/>
          <w:sz w:val="24"/>
          <w:szCs w:val="24"/>
        </w:rPr>
      </w:r>
    </w:p>
    <w:p>
      <w:pPr>
        <w:pBdr/>
        <w:spacing w:after="506" w:line="360" w:lineRule="auto"/>
        <w:ind w:firstLine="561" w:left="-17"/>
        <w:contextualSpacing w:val="tru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1.2 绩效等级评价结果等级为</w:t>
      </w:r>
      <w:r>
        <w:rPr>
          <w:rFonts w:hint="eastAsia" w:asciiTheme="majorEastAsia" w:hAnsiTheme="majorEastAsia" w:eastAsiaTheme="majorEastAsia" w:cstheme="majorEastAsia"/>
          <w:color w:val="ff0000"/>
          <w:sz w:val="24"/>
          <w:szCs w:val="24"/>
        </w:rPr>
        <w:t xml:space="preserve"> A+</w:t>
      </w:r>
      <w:r>
        <w:rPr>
          <w:rFonts w:hint="eastAsia" w:asciiTheme="majorEastAsia" w:hAnsiTheme="majorEastAsia" w:eastAsiaTheme="majorEastAsia" w:cstheme="majorEastAsia"/>
          <w:sz w:val="24"/>
          <w:szCs w:val="24"/>
        </w:rPr>
        <w:t xml:space="preserve">，本次部门整体支出绩效评价结果级别为“</w:t>
      </w:r>
      <w:r>
        <w:rPr>
          <w:rFonts w:hint="eastAsia" w:asciiTheme="majorEastAsia" w:hAnsiTheme="majorEastAsia" w:eastAsiaTheme="majorEastAsia" w:cstheme="majorEastAsia"/>
          <w:color w:val="ff0000"/>
          <w:sz w:val="24"/>
          <w:szCs w:val="24"/>
        </w:rPr>
        <w:t xml:space="preserve">优</w:t>
      </w:r>
      <w:r>
        <w:rPr>
          <w:rFonts w:hint="eastAsia" w:asciiTheme="majorEastAsia" w:hAnsiTheme="majorEastAsia" w:eastAsiaTheme="majorEastAsia" w:cstheme="majorEastAsia"/>
          <w:sz w:val="24"/>
          <w:szCs w:val="24"/>
        </w:rPr>
        <w:t xml:space="preserve">”。项目与目前政策相符。项目立项规范、合理，资金到位及时、使用合规、监控有效，工作及财务管理制度健全、执行有效、项目质量可控，项目实际支出没有超预算，总体满意度、服务履职工作方面满意度等综合满意度高，达到了预定目标。 </w:t>
      </w:r>
      <w:r>
        <w:rPr>
          <w:rFonts w:asciiTheme="majorEastAsia" w:hAnsiTheme="majorEastAsia" w:eastAsiaTheme="majorEastAsia" w:cstheme="majorEastAsia"/>
          <w:sz w:val="24"/>
          <w:szCs w:val="24"/>
        </w:rPr>
      </w:r>
    </w:p>
    <w:p>
      <w:pPr>
        <w:pBdr/>
        <w:spacing w:after="506" w:line="360" w:lineRule="auto"/>
        <w:ind/>
        <w:contextualSpacing w:val="true"/>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 xml:space="preserve">二</w:t>
      </w:r>
      <w:r>
        <w:rPr>
          <w:rFonts w:hint="eastAsia" w:asciiTheme="majorEastAsia" w:hAnsiTheme="majorEastAsia" w:eastAsiaTheme="majorEastAsia" w:cstheme="majorEastAsia"/>
          <w:b/>
          <w:bCs/>
          <w:sz w:val="24"/>
          <w:szCs w:val="24"/>
        </w:rPr>
        <w:t xml:space="preserve">、基本情况</w:t>
      </w:r>
      <w:bookmarkStart w:id="0" w:name="_Toc452659690"/>
      <w:r/>
      <w:r>
        <w:rPr>
          <w:rFonts w:asciiTheme="majorEastAsia" w:hAnsiTheme="majorEastAsia" w:eastAsiaTheme="majorEastAsia" w:cstheme="majorEastAsia"/>
          <w:b/>
          <w:bCs/>
          <w:sz w:val="24"/>
          <w:szCs w:val="24"/>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2.1  部门概况</w:t>
      </w:r>
      <w:bookmarkEnd w:id="0"/>
      <w:r/>
      <w:bookmarkStart w:id="1" w:name="_Toc452659691"/>
      <w:r/>
      <w:r>
        <w:rPr>
          <w:rFonts w:asciiTheme="majorEastAsia" w:hAnsiTheme="majorEastAsia" w:eastAsiaTheme="majorEastAsia" w:cstheme="majorEastAsia"/>
          <w:b/>
          <w:bCs/>
          <w:sz w:val="24"/>
          <w:szCs w:val="24"/>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2.1.1  部门基本情况</w:t>
      </w:r>
      <w:bookmarkEnd w:id="1"/>
      <w:r/>
      <w:r>
        <w:rPr>
          <w:rFonts w:asciiTheme="majorEastAsia" w:hAnsiTheme="majorEastAsia" w:eastAsiaTheme="majorEastAsia" w:cstheme="majorEastAsia"/>
          <w:b/>
          <w:bCs/>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随州市统计局机关行政编制为19名。现实有在职行政编制人员18名，以钱养事人员1名，退休人员6名，内设10个科（室）。直属事业单位2个：市普查中心和市城市社会经济调查队。</w:t>
      </w:r>
      <w:r>
        <w:rPr>
          <w:rFonts w:asciiTheme="majorEastAsia" w:hAnsiTheme="majorEastAsia" w:eastAsiaTheme="majorEastAsia" w:cstheme="majorEastAsia"/>
          <w:sz w:val="24"/>
          <w:szCs w:val="24"/>
        </w:rPr>
      </w:r>
    </w:p>
    <w:p>
      <w:pPr>
        <w:pStyle w:val="657"/>
        <w:pBdr/>
        <w:spacing w:line="360" w:lineRule="auto"/>
        <w:ind w:firstLine="48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2.1.2  部门年度主要工作任务</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深化“两学一做”学习教育；全面开展全国第三次农业普查工作；开展2017年投入产出调查工作；坚持依法统计，狠抓统计数据质量；加强各级统计机构规范化建设，开展各类业务培训；强化服务意识和服务能力，创新统计产品模式和载体；丰富经济发展的研判和预警，拓展社情民意调查分析等。</w:t>
      </w:r>
      <w:r>
        <w:rPr>
          <w:rFonts w:asciiTheme="majorEastAsia" w:hAnsiTheme="majorEastAsia" w:eastAsiaTheme="majorEastAsia" w:cstheme="majorEastAsia"/>
          <w:sz w:val="24"/>
          <w:szCs w:val="24"/>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2.1.3  项目实施情况</w:t>
      </w:r>
      <w:r>
        <w:rPr>
          <w:rFonts w:asciiTheme="majorEastAsia" w:hAnsiTheme="majorEastAsia" w:eastAsiaTheme="majorEastAsia" w:cstheme="majorEastAsia"/>
          <w:b/>
          <w:bCs/>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2.1.3.1  项目的构成。</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本项目由基本支出和项目支出两部分构成。支出预算数合计831.06万元。</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基本支出主要包括人员工资福利支出、对个人和家庭的补助支出、商品和服务日常经费支出等。2017年基本支出预算数为350.20万元。</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项目支出主要包括第三次农业普查经费和统计专项经费。2017年项目支出预算数为</w:t>
      </w:r>
      <w:bookmarkStart w:id="2" w:name="OLE_LINK2"/>
      <w:r>
        <w:rPr>
          <w:rFonts w:hint="eastAsia" w:asciiTheme="majorEastAsia" w:hAnsiTheme="majorEastAsia" w:eastAsiaTheme="majorEastAsia" w:cstheme="majorEastAsia"/>
          <w:sz w:val="24"/>
          <w:szCs w:val="24"/>
        </w:rPr>
        <w:t xml:space="preserve">480.86</w:t>
      </w:r>
      <w:bookmarkEnd w:id="2"/>
      <w:r>
        <w:rPr>
          <w:rFonts w:hint="eastAsia" w:asciiTheme="majorEastAsia" w:hAnsiTheme="majorEastAsia" w:eastAsiaTheme="majorEastAsia" w:cstheme="majorEastAsia"/>
          <w:sz w:val="24"/>
          <w:szCs w:val="24"/>
        </w:rPr>
        <w:t xml:space="preserve">万元。</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2.1.3.2  项目执行情况。</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2017年度调整后的预算为704.23万元，实际收入为704.23万元（含本年收入602.46万元，年初结转结余101.77万元），其中本年财政拨款收入为561.14万元，较上年度财政拨款收入543.78万元增加17.36万元；其他收入41.32万元，较上年度其他收入127.19万元减少85.87万元；及下</w:t>
      </w:r>
      <w:r>
        <w:rPr>
          <w:rFonts w:hint="eastAsia" w:asciiTheme="majorEastAsia" w:hAnsiTheme="majorEastAsia" w:eastAsiaTheme="majorEastAsia" w:cstheme="majorEastAsia"/>
          <w:color w:val="000000"/>
          <w:sz w:val="24"/>
          <w:szCs w:val="24"/>
        </w:rPr>
        <w:t xml:space="preserve">拨</w:t>
      </w:r>
      <w:r>
        <w:rPr>
          <w:rFonts w:hint="eastAsia" w:asciiTheme="majorEastAsia" w:hAnsiTheme="majorEastAsia" w:eastAsiaTheme="majorEastAsia" w:cstheme="majorEastAsia"/>
          <w:color w:val="000000"/>
          <w:sz w:val="24"/>
          <w:szCs w:val="24"/>
        </w:rPr>
        <w:t xml:space="preserve">上年结转结余101.77</w:t>
      </w:r>
      <w:r>
        <w:rPr>
          <w:rFonts w:hint="eastAsia" w:asciiTheme="majorEastAsia" w:hAnsiTheme="majorEastAsia" w:eastAsiaTheme="majorEastAsia" w:cstheme="majorEastAsia"/>
          <w:sz w:val="24"/>
          <w:szCs w:val="24"/>
        </w:rPr>
        <w:t xml:space="preserve">万元。</w:t>
      </w:r>
      <w:r>
        <w:rPr>
          <w:rFonts w:hint="eastAsia" w:asciiTheme="majorEastAsia" w:hAnsiTheme="majorEastAsia" w:eastAsiaTheme="majorEastAsia" w:cstheme="majorEastAsia"/>
          <w:color w:val="000000"/>
          <w:sz w:val="24"/>
          <w:szCs w:val="24"/>
        </w:rPr>
        <w:t xml:space="preserve">本年度支出为611.36元，较上年支出794.67万元减少183.31万元。年末结转结余92.87万元。</w:t>
      </w:r>
      <w:r>
        <w:rPr>
          <w:rFonts w:asciiTheme="majorEastAsia" w:hAnsiTheme="majorEastAsia" w:eastAsiaTheme="majorEastAsia" w:cstheme="majorEastAsia"/>
          <w:color w:val="000000"/>
          <w:sz w:val="24"/>
          <w:szCs w:val="24"/>
        </w:rPr>
      </w:r>
    </w:p>
    <w:p>
      <w:pPr>
        <w:pStyle w:val="657"/>
        <w:pBdr/>
        <w:spacing w:line="360" w:lineRule="auto"/>
        <w:ind w:firstLine="482"/>
        <w:rPr>
          <w:rFonts w:asciiTheme="majorEastAsia" w:hAnsiTheme="majorEastAsia" w:eastAsiaTheme="majorEastAsia" w:cstheme="majorEastAsia"/>
          <w:sz w:val="24"/>
          <w:szCs w:val="24"/>
        </w:rPr>
      </w:pPr>
      <w:r/>
      <w:bookmarkStart w:id="3" w:name="_Toc452659694"/>
      <w:r>
        <w:rPr>
          <w:rFonts w:hint="eastAsia" w:asciiTheme="majorEastAsia" w:hAnsiTheme="majorEastAsia" w:eastAsiaTheme="majorEastAsia" w:cstheme="majorEastAsia"/>
          <w:sz w:val="24"/>
          <w:szCs w:val="24"/>
        </w:rPr>
        <w:t xml:space="preserve">2.1.4  经费来源和使用情况</w:t>
      </w:r>
      <w:bookmarkEnd w:id="3"/>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2.1.4.1  资金来源。资金纳入了随州市统计局2017年部门决算，《市财政厅关于批复2017年市直部门决算的通知》批复了本项目资金的来源。2017年随州市统计局财政拨款收入为</w:t>
      </w:r>
      <w:r>
        <w:rPr>
          <w:rFonts w:hint="eastAsia" w:asciiTheme="majorEastAsia" w:hAnsiTheme="majorEastAsia" w:eastAsiaTheme="majorEastAsia" w:cstheme="majorEastAsia"/>
          <w:color w:val="000000"/>
          <w:sz w:val="24"/>
          <w:szCs w:val="24"/>
        </w:rPr>
        <w:t xml:space="preserve">561.14</w:t>
      </w:r>
      <w:r>
        <w:rPr>
          <w:rFonts w:hint="eastAsia" w:asciiTheme="majorEastAsia" w:hAnsiTheme="majorEastAsia" w:eastAsiaTheme="majorEastAsia" w:cstheme="majorEastAsia"/>
          <w:sz w:val="24"/>
          <w:szCs w:val="24"/>
        </w:rPr>
        <w:t xml:space="preserve">万元。上年结转</w:t>
      </w:r>
      <w:r>
        <w:rPr>
          <w:rFonts w:hint="eastAsia" w:asciiTheme="majorEastAsia" w:hAnsiTheme="majorEastAsia" w:eastAsiaTheme="majorEastAsia" w:cstheme="majorEastAsia"/>
          <w:color w:val="000000"/>
          <w:sz w:val="24"/>
          <w:szCs w:val="24"/>
        </w:rPr>
        <w:t xml:space="preserve">101.77</w:t>
      </w:r>
      <w:r>
        <w:rPr>
          <w:rFonts w:hint="eastAsia" w:asciiTheme="majorEastAsia" w:hAnsiTheme="majorEastAsia" w:eastAsiaTheme="majorEastAsia" w:cstheme="majorEastAsia"/>
          <w:sz w:val="24"/>
          <w:szCs w:val="24"/>
        </w:rPr>
        <w:t xml:space="preserve">万元，其他收入</w:t>
      </w:r>
      <w:r>
        <w:rPr>
          <w:rFonts w:hint="eastAsia" w:asciiTheme="majorEastAsia" w:hAnsiTheme="majorEastAsia" w:eastAsiaTheme="majorEastAsia" w:cstheme="majorEastAsia"/>
          <w:color w:val="000000"/>
          <w:sz w:val="24"/>
          <w:szCs w:val="24"/>
        </w:rPr>
        <w:t xml:space="preserve">41.32</w:t>
      </w:r>
      <w:r>
        <w:rPr>
          <w:rFonts w:hint="eastAsia" w:asciiTheme="majorEastAsia" w:hAnsiTheme="majorEastAsia" w:eastAsiaTheme="majorEastAsia" w:cstheme="majorEastAsia"/>
          <w:sz w:val="24"/>
          <w:szCs w:val="24"/>
        </w:rPr>
        <w:t xml:space="preserve">万元，合计</w:t>
      </w:r>
      <w:r>
        <w:rPr>
          <w:rFonts w:hint="eastAsia" w:asciiTheme="majorEastAsia" w:hAnsiTheme="majorEastAsia" w:eastAsiaTheme="majorEastAsia" w:cstheme="majorEastAsia"/>
          <w:color w:val="000000"/>
          <w:sz w:val="24"/>
          <w:szCs w:val="24"/>
        </w:rPr>
        <w:t xml:space="preserve">704.23</w:t>
      </w:r>
      <w:r>
        <w:rPr>
          <w:rFonts w:hint="eastAsia" w:asciiTheme="majorEastAsia" w:hAnsiTheme="majorEastAsia" w:eastAsiaTheme="majorEastAsia" w:cstheme="majorEastAsia"/>
          <w:sz w:val="24"/>
          <w:szCs w:val="24"/>
        </w:rPr>
        <w:t xml:space="preserve">万元。资金到位率100%。</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2.1.4.2  资金使用。本年度部门使用资金611.36万元。其中：基本支出495.67万元，具体包括工资福利支出364.28万元，商品和服务支出59.16万元，对个人和家庭补助支出70.02万元，其它资本性支出2.21万元。项目支出为115.69万元。</w:t>
      </w:r>
      <w:r>
        <w:rPr>
          <w:rFonts w:asciiTheme="majorEastAsia" w:hAnsiTheme="majorEastAsia" w:eastAsiaTheme="majorEastAsia" w:cstheme="majorEastAsia"/>
          <w:sz w:val="24"/>
          <w:szCs w:val="24"/>
        </w:rPr>
      </w:r>
    </w:p>
    <w:p>
      <w:pPr>
        <w:pBdr/>
        <w:spacing w:line="360" w:lineRule="auto"/>
        <w:ind/>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部门预算支出情况对比表</w:t>
      </w:r>
      <w:r>
        <w:rPr>
          <w:rFonts w:asciiTheme="majorEastAsia" w:hAnsiTheme="majorEastAsia" w:eastAsiaTheme="majorEastAsia" w:cstheme="majorEastAsia"/>
          <w:b/>
          <w:sz w:val="24"/>
          <w:szCs w:val="24"/>
        </w:rPr>
      </w:r>
    </w:p>
    <w:tbl>
      <w:tblPr>
        <w:tblStyle w:val="659"/>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08" w:type="dxa"/>
          <w:top w:w="0" w:type="dxa"/>
          <w:right w:w="108" w:type="dxa"/>
          <w:bottom w:w="0" w:type="dxa"/>
        </w:tblCellMar>
        <w:tblLook w:val="04A0" w:firstRow="1" w:lastRow="0" w:firstColumn="1" w:lastColumn="0" w:noHBand="0" w:noVBand="1"/>
      </w:tblPr>
      <w:tblGrid>
        <w:gridCol w:w="3424"/>
        <w:gridCol w:w="2610"/>
        <w:gridCol w:w="2494"/>
      </w:tblGrid>
      <w:tr>
        <w:trPr>
          <w:jc w:val="center"/>
          <w:trHeight w:val="285"/>
        </w:trPr>
        <w:tc>
          <w:tcPr>
            <w:tcBorders/>
            <w:tcW w:w="342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   目</w:t>
            </w:r>
            <w:r>
              <w:rPr>
                <w:rFonts w:asciiTheme="majorEastAsia" w:hAnsiTheme="majorEastAsia" w:eastAsiaTheme="majorEastAsia" w:cstheme="majorEastAsia"/>
                <w:sz w:val="24"/>
                <w:szCs w:val="24"/>
              </w:rPr>
            </w:r>
          </w:p>
        </w:tc>
        <w:tc>
          <w:tcPr>
            <w:tcBorders/>
            <w:tcW w:w="2610"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预算数（万元）</w:t>
            </w:r>
            <w:r>
              <w:rPr>
                <w:rFonts w:asciiTheme="majorEastAsia" w:hAnsiTheme="majorEastAsia" w:eastAsiaTheme="majorEastAsia" w:cstheme="majorEastAsia"/>
                <w:sz w:val="24"/>
                <w:szCs w:val="24"/>
              </w:rPr>
            </w:r>
          </w:p>
        </w:tc>
        <w:tc>
          <w:tcPr>
            <w:tcBorders/>
            <w:tcW w:w="2494"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使用数（万元）</w:t>
            </w:r>
            <w:r>
              <w:rPr>
                <w:rFonts w:asciiTheme="majorEastAsia" w:hAnsiTheme="majorEastAsia" w:eastAsiaTheme="majorEastAsia" w:cstheme="majorEastAsia"/>
                <w:sz w:val="24"/>
                <w:szCs w:val="24"/>
              </w:rPr>
            </w:r>
          </w:p>
        </w:tc>
      </w:tr>
      <w:tr>
        <w:trPr>
          <w:jc w:val="center"/>
          <w:trHeight w:val="285"/>
        </w:trPr>
        <w:tc>
          <w:tcPr>
            <w:tcBorders/>
            <w:tcW w:w="342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基本支出</w:t>
            </w:r>
            <w:r>
              <w:rPr>
                <w:rFonts w:asciiTheme="majorEastAsia" w:hAnsiTheme="majorEastAsia" w:eastAsiaTheme="majorEastAsia" w:cstheme="majorEastAsia"/>
                <w:sz w:val="24"/>
                <w:szCs w:val="24"/>
              </w:rPr>
            </w:r>
          </w:p>
        </w:tc>
        <w:tc>
          <w:tcPr>
            <w:tcBorders/>
            <w:tcW w:w="2610"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350.20</w:t>
            </w:r>
            <w:r>
              <w:rPr>
                <w:rFonts w:asciiTheme="majorEastAsia" w:hAnsiTheme="majorEastAsia" w:eastAsiaTheme="majorEastAsia" w:cstheme="majorEastAsia"/>
                <w:sz w:val="24"/>
                <w:szCs w:val="24"/>
              </w:rPr>
            </w:r>
          </w:p>
        </w:tc>
        <w:tc>
          <w:tcPr>
            <w:tcBorders/>
            <w:tcW w:w="2494" w:type="dxa"/>
            <w:vAlign w:val="bottom"/>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495.67</w:t>
            </w:r>
            <w:r>
              <w:rPr>
                <w:rFonts w:asciiTheme="majorEastAsia" w:hAnsiTheme="majorEastAsia" w:eastAsiaTheme="majorEastAsia" w:cstheme="majorEastAsia"/>
                <w:sz w:val="24"/>
                <w:szCs w:val="24"/>
              </w:rPr>
            </w:r>
          </w:p>
        </w:tc>
      </w:tr>
      <w:tr>
        <w:trPr>
          <w:jc w:val="center"/>
          <w:trHeight w:val="285"/>
        </w:trPr>
        <w:tc>
          <w:tcPr>
            <w:tcBorders/>
            <w:tcW w:w="342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项目支出</w:t>
            </w:r>
            <w:r>
              <w:rPr>
                <w:rFonts w:asciiTheme="majorEastAsia" w:hAnsiTheme="majorEastAsia" w:eastAsiaTheme="majorEastAsia" w:cstheme="majorEastAsia"/>
                <w:sz w:val="24"/>
                <w:szCs w:val="24"/>
              </w:rPr>
            </w:r>
          </w:p>
        </w:tc>
        <w:tc>
          <w:tcPr>
            <w:tcBorders/>
            <w:tcW w:w="2610"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480.86</w:t>
            </w:r>
            <w:r>
              <w:rPr>
                <w:rFonts w:asciiTheme="majorEastAsia" w:hAnsiTheme="majorEastAsia" w:eastAsiaTheme="majorEastAsia" w:cstheme="majorEastAsia"/>
                <w:sz w:val="24"/>
                <w:szCs w:val="24"/>
              </w:rPr>
            </w:r>
          </w:p>
        </w:tc>
        <w:tc>
          <w:tcPr>
            <w:tcBorders/>
            <w:tcW w:w="249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115.69</w:t>
            </w:r>
            <w:r>
              <w:rPr>
                <w:rFonts w:asciiTheme="majorEastAsia" w:hAnsiTheme="majorEastAsia" w:eastAsiaTheme="majorEastAsia" w:cstheme="majorEastAsia"/>
                <w:sz w:val="24"/>
                <w:szCs w:val="24"/>
              </w:rPr>
            </w:r>
          </w:p>
        </w:tc>
      </w:tr>
      <w:tr>
        <w:trPr>
          <w:jc w:val="center"/>
          <w:trHeight w:val="285"/>
        </w:trPr>
        <w:tc>
          <w:tcPr>
            <w:tcBorders/>
            <w:tcW w:w="342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其中： </w:t>
            </w:r>
            <w:r>
              <w:rPr>
                <w:rFonts w:asciiTheme="majorEastAsia" w:hAnsiTheme="majorEastAsia" w:eastAsiaTheme="majorEastAsia" w:cstheme="majorEastAsia"/>
                <w:sz w:val="24"/>
                <w:szCs w:val="24"/>
              </w:rPr>
            </w:r>
          </w:p>
        </w:tc>
        <w:tc>
          <w:tcPr>
            <w:tcBorders/>
            <w:tcW w:w="2610"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r>
            <w:r>
              <w:rPr>
                <w:rFonts w:asciiTheme="majorEastAsia" w:hAnsiTheme="majorEastAsia" w:eastAsiaTheme="majorEastAsia" w:cstheme="majorEastAsia"/>
                <w:sz w:val="24"/>
                <w:szCs w:val="24"/>
              </w:rPr>
            </w:r>
          </w:p>
        </w:tc>
        <w:tc>
          <w:tcPr>
            <w:tcBorders/>
            <w:tcW w:w="2494"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r>
            <w:r>
              <w:rPr>
                <w:rFonts w:asciiTheme="majorEastAsia" w:hAnsiTheme="majorEastAsia" w:eastAsiaTheme="majorEastAsia" w:cstheme="majorEastAsia"/>
                <w:sz w:val="24"/>
                <w:szCs w:val="24"/>
              </w:rPr>
            </w:r>
          </w:p>
        </w:tc>
      </w:tr>
      <w:tr>
        <w:trPr>
          <w:jc w:val="center"/>
          <w:trHeight w:val="285"/>
        </w:trPr>
        <w:tc>
          <w:tcPr>
            <w:tcBorders/>
            <w:tcW w:w="3424" w:type="dxa"/>
            <w:vAlign w:val="center"/>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三公经费</w:t>
            </w:r>
            <w:r>
              <w:rPr>
                <w:rFonts w:asciiTheme="majorEastAsia" w:hAnsiTheme="majorEastAsia" w:eastAsiaTheme="majorEastAsia" w:cstheme="majorEastAsia"/>
                <w:sz w:val="24"/>
                <w:szCs w:val="24"/>
              </w:rPr>
            </w:r>
          </w:p>
        </w:tc>
        <w:tc>
          <w:tcPr>
            <w:tcBorders/>
            <w:tcW w:w="2610"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7.27</w:t>
            </w:r>
            <w:r>
              <w:rPr>
                <w:rFonts w:asciiTheme="majorEastAsia" w:hAnsiTheme="majorEastAsia" w:eastAsiaTheme="majorEastAsia" w:cstheme="majorEastAsia"/>
                <w:sz w:val="24"/>
                <w:szCs w:val="24"/>
              </w:rPr>
            </w:r>
          </w:p>
        </w:tc>
        <w:tc>
          <w:tcPr>
            <w:tcBorders/>
            <w:tcW w:w="2494" w:type="dxa"/>
            <w:textDirection w:val="lrTb"/>
            <w:noWrap w:val="false"/>
          </w:tcPr>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4.35</w:t>
            </w:r>
            <w:r>
              <w:rPr>
                <w:rFonts w:asciiTheme="majorEastAsia" w:hAnsiTheme="majorEastAsia" w:eastAsiaTheme="majorEastAsia" w:cstheme="majorEastAsia"/>
                <w:sz w:val="24"/>
                <w:szCs w:val="24"/>
              </w:rPr>
            </w:r>
          </w:p>
        </w:tc>
      </w:tr>
    </w:tbl>
    <w:p>
      <w:pPr>
        <w:numPr>
          <w:ilvl w:val="0"/>
          <w:numId w:val="1"/>
        </w:numPr>
        <w:pBdr/>
        <w:spacing w:after="506" w:line="360" w:lineRule="auto"/>
        <w:ind/>
        <w:contextualSpacing w:val="true"/>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绩效评价情况</w:t>
      </w:r>
      <w:r>
        <w:rPr>
          <w:rFonts w:asciiTheme="majorEastAsia" w:hAnsiTheme="majorEastAsia" w:eastAsiaTheme="majorEastAsia" w:cstheme="majorEastAsia"/>
          <w:b/>
          <w:bCs/>
          <w:sz w:val="24"/>
          <w:szCs w:val="24"/>
        </w:rPr>
      </w:r>
    </w:p>
    <w:p>
      <w:pPr>
        <w:pBdr/>
        <w:spacing w:after="506" w:line="360" w:lineRule="auto"/>
        <w:ind w:firstLine="482"/>
        <w:contextualSpacing w:val="tru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3.1绩效目标完成情况</w:t>
      </w:r>
      <w:r>
        <w:rPr>
          <w:rFonts w:asciiTheme="majorEastAsia" w:hAnsiTheme="majorEastAsia" w:eastAsiaTheme="majorEastAsia" w:cstheme="majorEastAsia"/>
          <w:sz w:val="24"/>
          <w:szCs w:val="24"/>
        </w:rPr>
      </w:r>
    </w:p>
    <w:p>
      <w:pPr>
        <w:pBdr/>
        <w:spacing w:after="506" w:line="360" w:lineRule="auto"/>
        <w:ind w:firstLine="482"/>
        <w:contextualSpacing w:val="true"/>
        <w:rPr>
          <w:rFonts w:asciiTheme="majorEastAsia" w:hAnsiTheme="majorEastAsia" w:eastAsiaTheme="majorEastAsia" w:cstheme="majorEastAsia"/>
          <w:b/>
          <w:bCs/>
          <w:sz w:val="24"/>
          <w:szCs w:val="24"/>
        </w:rPr>
      </w:pPr>
      <w:r/>
      <w:bookmarkStart w:id="4" w:name="_Toc452659695"/>
      <w:r>
        <w:rPr>
          <w:rFonts w:hint="eastAsia" w:asciiTheme="majorEastAsia" w:hAnsiTheme="majorEastAsia" w:eastAsiaTheme="majorEastAsia" w:cstheme="majorEastAsia"/>
          <w:b/>
          <w:bCs/>
          <w:sz w:val="24"/>
          <w:szCs w:val="24"/>
        </w:rPr>
        <w:t xml:space="preserve">3.1.1  绩效目标</w:t>
      </w:r>
      <w:bookmarkEnd w:id="4"/>
      <w:r/>
      <w:r>
        <w:rPr>
          <w:rFonts w:asciiTheme="majorEastAsia" w:hAnsiTheme="majorEastAsia" w:eastAsiaTheme="majorEastAsia" w:cstheme="majorEastAsia"/>
          <w:b/>
          <w:bCs/>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紧紧围绕市委市政府中心工作，根据部门工作职能和发展规划，紧密结合年度工作计划制定了年度目标。                   </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年度目标是：</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1.</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高度重视，深入推进统计体制改革。</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2.</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多措并举，全面提升统计数据质量。</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3.</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精准发力，夯实基层基础规范建设。</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4.</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认真组织，扎实推进重大普查工作。</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5.</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紧扣需求，积极创新数库智库建设。</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6.</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主动作为，积极服务全市中心工作。</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7.</w:t>
      </w:r>
      <w:r>
        <w:rPr>
          <w:rFonts w:hint="eastAsia"/>
          <w:color w:val="000000" w:themeColor="text1"/>
        </w:rPr>
        <w:t xml:space="preserve"> </w:t>
      </w:r>
      <w:r>
        <w:rPr>
          <w:rFonts w:hint="eastAsia" w:asciiTheme="majorEastAsia" w:hAnsiTheme="majorEastAsia" w:eastAsiaTheme="majorEastAsia" w:cstheme="majorEastAsia"/>
          <w:color w:val="000000" w:themeColor="text1"/>
          <w:sz w:val="24"/>
          <w:szCs w:val="24"/>
        </w:rPr>
        <w:t xml:space="preserve">以人为本，全面加强队伍能力建设。</w:t>
      </w:r>
      <w:r>
        <w:rPr>
          <w:rFonts w:asciiTheme="majorEastAsia" w:hAnsiTheme="majorEastAsia" w:eastAsiaTheme="majorEastAsia" w:cstheme="majorEastAsia"/>
          <w:color w:val="000000" w:themeColor="text1"/>
          <w:sz w:val="24"/>
          <w:szCs w:val="24"/>
        </w:rPr>
      </w:r>
    </w:p>
    <w:p>
      <w:pPr>
        <w:pBdr/>
        <w:spacing w:line="360" w:lineRule="auto"/>
        <w:ind w:firstLine="48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8.从严治党，扎实抓好党风廉政建设。</w:t>
      </w:r>
      <w:r>
        <w:rPr>
          <w:rFonts w:asciiTheme="majorEastAsia" w:hAnsiTheme="majorEastAsia" w:eastAsiaTheme="majorEastAsia" w:cstheme="majorEastAsia"/>
          <w:color w:val="000000" w:themeColor="text1"/>
          <w:sz w:val="24"/>
          <w:szCs w:val="24"/>
        </w:rPr>
      </w:r>
    </w:p>
    <w:p>
      <w:pPr>
        <w:pStyle w:val="668"/>
        <w:pBdr/>
        <w:spacing w:line="360" w:lineRule="auto"/>
        <w:ind w:firstLine="48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3.1.2绩效评价原则、框架及指标设定与赋权</w:t>
      </w:r>
      <w:r>
        <w:rPr>
          <w:rFonts w:asciiTheme="majorEastAsia" w:hAnsiTheme="majorEastAsia" w:eastAsiaTheme="majorEastAsia" w:cstheme="majorEastAsia"/>
          <w:sz w:val="24"/>
          <w:szCs w:val="24"/>
        </w:rPr>
      </w:r>
    </w:p>
    <w:p>
      <w:pPr>
        <w:pStyle w:val="667"/>
        <w:pBdr/>
        <w:spacing w:line="360" w:lineRule="auto"/>
        <w:ind/>
        <w:outlineLvl w:val="0"/>
        <w:rPr>
          <w:rFonts w:asciiTheme="majorEastAsia" w:hAnsiTheme="majorEastAsia" w:eastAsiaTheme="majorEastAsia" w:cstheme="majorEastAsia"/>
          <w:sz w:val="24"/>
          <w:szCs w:val="24"/>
        </w:rPr>
      </w:pPr>
      <w:r/>
      <w:bookmarkStart w:id="5" w:name="_Toc419294951"/>
      <w:r/>
      <w:bookmarkStart w:id="6" w:name="_Toc452659697"/>
      <w:r>
        <w:rPr>
          <w:rFonts w:hint="eastAsia" w:asciiTheme="majorEastAsia" w:hAnsiTheme="majorEastAsia" w:eastAsiaTheme="majorEastAsia" w:cstheme="majorEastAsia"/>
          <w:sz w:val="24"/>
          <w:szCs w:val="24"/>
        </w:rPr>
        <w:t xml:space="preserve">3.1.2.1  绩效评价</w:t>
      </w:r>
      <w:bookmarkEnd w:id="5"/>
      <w:r>
        <w:rPr>
          <w:rFonts w:hint="eastAsia" w:asciiTheme="majorEastAsia" w:hAnsiTheme="majorEastAsia" w:eastAsiaTheme="majorEastAsia" w:cstheme="majorEastAsia"/>
          <w:sz w:val="24"/>
          <w:szCs w:val="24"/>
        </w:rPr>
        <w:t xml:space="preserve">原则</w:t>
      </w:r>
      <w:bookmarkEnd w:id="6"/>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科学规范原则。根据项目类型，按照规范、公开、透明的要求制定科学、合理的绩效评价指标、评价标准、评价方法，严格执行规定的程序对随州市统计局部门预算整体支出项目进行客观、公正的评价。</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突出重点原则。根据项目实际情况，这次项目检查的重点从项目投入、过程、产出和效益四个方面进行评价。</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系统性原则。将定量指标与定性指标相结合，以定量分析为主、定性分析为辅，系统反映预算支出所产生的社会效益和经济效益等。</w:t>
      </w:r>
      <w:bookmarkStart w:id="7" w:name="_Toc419294952"/>
      <w:r/>
      <w:bookmarkStart w:id="8" w:name="_Toc452659698"/>
      <w:r>
        <w:rPr>
          <w:rFonts w:hint="eastAsia" w:asciiTheme="majorEastAsia" w:hAnsiTheme="majorEastAsia" w:eastAsiaTheme="majorEastAsia" w:cstheme="majorEastAsia"/>
          <w:sz w:val="24"/>
          <w:szCs w:val="24"/>
        </w:rPr>
        <w:t xml:space="preserve">  </w:t>
      </w:r>
      <w:bookmarkEnd w:id="7"/>
      <w:r/>
      <w:bookmarkEnd w:id="8"/>
      <w:r/>
      <w:r>
        <w:rPr>
          <w:rFonts w:asciiTheme="majorEastAsia" w:hAnsiTheme="majorEastAsia" w:eastAsiaTheme="majorEastAsia" w:cstheme="majorEastAsia"/>
          <w:sz w:val="24"/>
          <w:szCs w:val="24"/>
        </w:rPr>
      </w:r>
    </w:p>
    <w:p>
      <w:pPr>
        <w:pStyle w:val="667"/>
        <w:pBdr/>
        <w:spacing w:line="360" w:lineRule="auto"/>
        <w:ind/>
        <w:outlineLvl w:val="0"/>
        <w:rPr>
          <w:rFonts w:asciiTheme="majorEastAsia" w:hAnsiTheme="majorEastAsia" w:eastAsiaTheme="majorEastAsia" w:cstheme="majorEastAsia"/>
          <w:sz w:val="24"/>
          <w:szCs w:val="24"/>
        </w:rPr>
      </w:pPr>
      <w:r/>
      <w:bookmarkStart w:id="9" w:name="_Toc452659699"/>
      <w:r/>
      <w:bookmarkStart w:id="10" w:name="_Toc419294953"/>
      <w:r>
        <w:rPr>
          <w:rFonts w:hint="eastAsia" w:asciiTheme="majorEastAsia" w:hAnsiTheme="majorEastAsia" w:eastAsiaTheme="majorEastAsia" w:cstheme="majorEastAsia"/>
          <w:sz w:val="24"/>
          <w:szCs w:val="24"/>
        </w:rPr>
        <w:t xml:space="preserve">3.1.2.2 绩效评价框架</w:t>
      </w:r>
      <w:bookmarkEnd w:id="9"/>
      <w:r/>
      <w:bookmarkEnd w:id="10"/>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绩效评价框架是开展绩效评价的核心。绩效评价框架包括评价准则、关键评价问题、评价指标、评分标准、证据、证据来源、证据收集方法等。</w:t>
      </w:r>
      <w:r>
        <w:rPr>
          <w:rFonts w:asciiTheme="majorEastAsia" w:hAnsiTheme="majorEastAsia" w:eastAsiaTheme="majorEastAsia" w:cstheme="majorEastAsia"/>
          <w:sz w:val="24"/>
          <w:szCs w:val="24"/>
        </w:rPr>
      </w:r>
    </w:p>
    <w:p>
      <w:pPr>
        <w:pBdr/>
        <w:spacing w:line="360" w:lineRule="auto"/>
        <w:ind w:firstLine="482"/>
        <w:rPr>
          <w:rFonts w:asciiTheme="majorEastAsia" w:hAnsiTheme="majorEastAsia" w:eastAsiaTheme="majorEastAsia" w:cstheme="majorEastAsia"/>
          <w:b/>
          <w:sz w:val="24"/>
          <w:szCs w:val="24"/>
        </w:rPr>
      </w:pPr>
      <w:r/>
      <w:bookmarkStart w:id="11" w:name="_Toc452655095"/>
      <w:r>
        <w:rPr>
          <w:rFonts w:hint="eastAsia" w:asciiTheme="majorEastAsia" w:hAnsiTheme="majorEastAsia" w:eastAsiaTheme="majorEastAsia" w:cstheme="majorEastAsia"/>
          <w:b/>
          <w:sz w:val="24"/>
          <w:szCs w:val="24"/>
        </w:rPr>
        <w:t xml:space="preserve">3.1.2.3 绩效评价指标与赋权</w:t>
      </w:r>
      <w:bookmarkEnd w:id="11"/>
      <w:r/>
      <w:r>
        <w:rPr>
          <w:rFonts w:asciiTheme="majorEastAsia" w:hAnsiTheme="majorEastAsia" w:eastAsiaTheme="majorEastAsia" w:cstheme="majorEastAsia"/>
          <w:b/>
          <w:sz w:val="24"/>
          <w:szCs w:val="24"/>
        </w:rPr>
      </w:r>
    </w:p>
    <w:p>
      <w:pPr>
        <w:pBdr/>
        <w:spacing w:line="360" w:lineRule="auto"/>
        <w:ind w:firstLine="48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 xml:space="preserve">依据财政部《预算绩效评价共性指标体系框架》（财预〔2013〕53号）中部门整体支出绩效评价共性指标体系框架，结合项目实际情况，此次绩效评价在指标体系设计上共分为三个维</w:t>
      </w:r>
      <w:r>
        <w:rPr>
          <w:rFonts w:hint="eastAsia" w:asciiTheme="majorEastAsia" w:hAnsiTheme="majorEastAsia" w:eastAsiaTheme="majorEastAsia" w:cstheme="majorEastAsia"/>
          <w:color w:val="000000"/>
          <w:sz w:val="24"/>
          <w:szCs w:val="24"/>
        </w:rPr>
        <w:t xml:space="preserve">度。其中，一级指标4个，分别为投入、过程、产出、效益；二级指标6个，分别为目标设定、预算配置、预算执行、预算管理、资产管理、职责履行、履职效益；三级指标21个。</w:t>
      </w:r>
      <w:r>
        <w:rPr>
          <w:rFonts w:asciiTheme="majorEastAsia" w:hAnsiTheme="majorEastAsia" w:eastAsiaTheme="majorEastAsia" w:cstheme="majorEastAsia"/>
          <w:color w:val="000000"/>
          <w:sz w:val="24"/>
          <w:szCs w:val="24"/>
        </w:rPr>
      </w:r>
    </w:p>
    <w:p>
      <w:pPr>
        <w:pBdr/>
        <w:spacing w:line="360" w:lineRule="auto"/>
        <w:ind w:firstLine="48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 xml:space="preserve">根据绩效预算管理模式的要求，评价重点是项目支出的成本效率、项目支出的结果和社会效益。为此，在对评价指标体系赋权上，我们在借鉴已有评价指标赋权的一些共同做法的基础上，降低了项目投入和过程的权重，增加了绩效指标的权重，尤其是产出和社会效益指标的权重。具体而言，采用百分制，项目投入和过程评价指标共占总分数的45%，产出和效益评价指标占总分数的55%，其中效益指标占总分数的</w:t>
      </w: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b/>
          <w:sz w:val="24"/>
          <w:szCs w:val="24"/>
        </w:rPr>
      </w:r>
    </w:p>
    <w:p>
      <w:pPr>
        <w:pBdr/>
        <w:spacing w:line="360" w:lineRule="auto"/>
        <w:ind w:firstLine="482"/>
        <w:rPr>
          <w:rFonts w:asciiTheme="majorEastAsia" w:hAnsiTheme="majorEastAsia" w:eastAsiaTheme="majorEastAsia" w:cstheme="majorEastAsia"/>
          <w:b/>
          <w:sz w:val="24"/>
          <w:szCs w:val="24"/>
        </w:rPr>
      </w:pPr>
      <w:r/>
      <w:bookmarkStart w:id="12" w:name="_Toc452655096"/>
      <w:r/>
      <w:bookmarkStart w:id="13" w:name="_Toc419294954"/>
      <w:r>
        <w:rPr>
          <w:rFonts w:hint="eastAsia" w:asciiTheme="majorEastAsia" w:hAnsiTheme="majorEastAsia" w:eastAsiaTheme="majorEastAsia" w:cstheme="majorEastAsia"/>
          <w:b/>
          <w:sz w:val="24"/>
          <w:szCs w:val="24"/>
        </w:rPr>
        <w:t xml:space="preserve">3.1.3 绩效评价标准</w:t>
      </w:r>
      <w:bookmarkEnd w:id="12"/>
      <w:r/>
      <w:r>
        <w:rPr>
          <w:rFonts w:asciiTheme="majorEastAsia" w:hAnsiTheme="majorEastAsia" w:eastAsiaTheme="majorEastAsia" w:cstheme="majorEastAsia"/>
          <w:b/>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价标准主要参照计划标准、行业标准、历史标准等。计划标准是指以预先制定的目标、计划、预算、定额等数据作为评价的标准。行业标准是指参照国家公布的行业指标数据制定的评价标准。历史标准是指参照同类指标的历史数据制定的评价标准。以经验数据和常识确定的标准是指根据财政经济活动发展规律和管理实践，由相关领域经验丰富的专家学者经过分析研究后得出的有关指标标准或惯例。</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投入和产出指标的评价主要依据文件制度的记录和现场核查，产出和效益指标的评价主要依据前一年执行结果分析等。</w:t>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价结果级别评定是根据综合评分方法取得的计分结果确定所属等级。依照《湖北省财政项目资金绩效评价操作指南》（鄂财函〔2013〕376号），本次评价结果类型包括A+、A、B+、B、C、D六种，相对应评价结果级别为优、良、中、差。</w:t>
      </w:r>
      <w:r>
        <w:rPr>
          <w:rFonts w:asciiTheme="majorEastAsia" w:hAnsiTheme="majorEastAsia" w:eastAsiaTheme="majorEastAsia" w:cstheme="majorEastAsia"/>
          <w:sz w:val="24"/>
          <w:szCs w:val="24"/>
        </w:rPr>
      </w:r>
    </w:p>
    <w:p>
      <w:pPr>
        <w:pBdr/>
        <w:spacing w:line="360" w:lineRule="auto"/>
        <w:ind w:firstLine="2168"/>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财政项目绩效评价计分结果级别评定对照表</w:t>
      </w:r>
      <w:r>
        <w:rPr>
          <w:rFonts w:asciiTheme="majorEastAsia" w:hAnsiTheme="majorEastAsia" w:eastAsiaTheme="majorEastAsia" w:cstheme="majorEastAsia"/>
          <w:b/>
          <w:sz w:val="24"/>
          <w:szCs w:val="24"/>
        </w:rPr>
      </w:r>
    </w:p>
    <w:tbl>
      <w:tblPr>
        <w:tblStyle w:val="659"/>
        <w:tblW w:w="7745" w:type="dxa"/>
        <w:jc w:val="center"/>
        <w:tblBorders/>
        <w:tblLayout w:type="fixed"/>
        <w:tblCellMar>
          <w:left w:w="108" w:type="dxa"/>
          <w:top w:w="0" w:type="dxa"/>
          <w:right w:w="108" w:type="dxa"/>
          <w:bottom w:w="0" w:type="dxa"/>
        </w:tblCellMar>
        <w:tblLook w:val="04A0" w:firstRow="1" w:lastRow="0" w:firstColumn="1" w:lastColumn="0" w:noHBand="0" w:noVBand="1"/>
      </w:tblPr>
      <w:tblGrid>
        <w:gridCol w:w="3032"/>
        <w:gridCol w:w="2320"/>
        <w:gridCol w:w="2393"/>
      </w:tblGrid>
      <w:tr>
        <w:trPr>
          <w:jc w:val="center"/>
          <w:trHeight w:val="397"/>
        </w:trPr>
        <w:tc>
          <w:tcPr>
            <w:tcBorders>
              <w:top w:val="single" w:color="auto" w:sz="4" w:space="0"/>
              <w:left w:val="single" w:color="auto" w:sz="4" w:space="0"/>
              <w:bottom w:val="single" w:color="auto" w:sz="4" w:space="0"/>
              <w:right w:val="single" w:color="auto" w:sz="4"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评价计分结果</w:t>
            </w:r>
            <w:r>
              <w:rPr>
                <w:rFonts w:asciiTheme="majorEastAsia" w:hAnsiTheme="majorEastAsia" w:eastAsiaTheme="majorEastAsia" w:cstheme="majorEastAsia"/>
                <w:b/>
                <w:sz w:val="24"/>
                <w:szCs w:val="24"/>
              </w:rPr>
            </w:r>
          </w:p>
        </w:tc>
        <w:tc>
          <w:tcPr>
            <w:tcBorders>
              <w:top w:val="single" w:color="auto" w:sz="4" w:space="0"/>
              <w:left w:val="single" w:color="auto" w:sz="4" w:space="0"/>
              <w:bottom w:val="single" w:color="auto" w:sz="4" w:space="0"/>
              <w:right w:val="single" w:color="auto" w:sz="4"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评价结果类型</w:t>
            </w:r>
            <w:r>
              <w:rPr>
                <w:rFonts w:asciiTheme="majorEastAsia" w:hAnsiTheme="majorEastAsia" w:eastAsiaTheme="majorEastAsia" w:cstheme="majorEastAsia"/>
                <w:b/>
                <w:sz w:val="24"/>
                <w:szCs w:val="24"/>
              </w:rPr>
            </w:r>
          </w:p>
        </w:tc>
        <w:tc>
          <w:tcPr>
            <w:tcBorders>
              <w:top w:val="single" w:color="auto" w:sz="4" w:space="0"/>
              <w:left w:val="single" w:color="auto" w:sz="4" w:space="0"/>
              <w:bottom w:val="single" w:color="auto" w:sz="4" w:space="0"/>
              <w:right w:val="single" w:color="auto" w:sz="4"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评价结果级别</w:t>
            </w:r>
            <w:r>
              <w:rPr>
                <w:rFonts w:asciiTheme="majorEastAsia" w:hAnsiTheme="majorEastAsia" w:eastAsiaTheme="majorEastAsia" w:cstheme="majorEastAsia"/>
                <w:b/>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90分～100分（含90分）</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A+</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优</w:t>
            </w:r>
            <w:r>
              <w:rPr>
                <w:rFonts w:asciiTheme="majorEastAsia" w:hAnsiTheme="majorEastAsia" w:eastAsiaTheme="majorEastAsia" w:cstheme="majorEastAsia"/>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85分～90分（含85分）</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A</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优</w:t>
            </w:r>
            <w:r>
              <w:rPr>
                <w:rFonts w:asciiTheme="majorEastAsia" w:hAnsiTheme="majorEastAsia" w:eastAsiaTheme="majorEastAsia" w:cstheme="majorEastAsia"/>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80分～85分（含80分）</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B+</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良</w:t>
            </w:r>
            <w:r>
              <w:rPr>
                <w:rFonts w:asciiTheme="majorEastAsia" w:hAnsiTheme="majorEastAsia" w:eastAsiaTheme="majorEastAsia" w:cstheme="majorEastAsia"/>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70分～80分（含70分）</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B</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良</w:t>
            </w:r>
            <w:r>
              <w:rPr>
                <w:rFonts w:asciiTheme="majorEastAsia" w:hAnsiTheme="majorEastAsia" w:eastAsiaTheme="majorEastAsia" w:cstheme="majorEastAsia"/>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60分～70分（含60分）</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C</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中</w:t>
            </w:r>
            <w:r>
              <w:rPr>
                <w:rFonts w:asciiTheme="majorEastAsia" w:hAnsiTheme="majorEastAsia" w:eastAsiaTheme="majorEastAsia" w:cstheme="majorEastAsia"/>
                <w:sz w:val="24"/>
                <w:szCs w:val="24"/>
              </w:rPr>
            </w:r>
          </w:p>
        </w:tc>
      </w:tr>
      <w:tr>
        <w:trPr>
          <w:jc w:val="center"/>
          <w:trHeight w:val="397"/>
        </w:trPr>
        <w:tc>
          <w:tcPr>
            <w:tcBorders>
              <w:top w:val="none" w:color="000000" w:sz="4" w:space="0"/>
              <w:left w:val="single" w:color="auto" w:sz="8" w:space="0"/>
              <w:bottom w:val="single" w:color="auto" w:sz="8" w:space="0"/>
              <w:right w:val="single" w:color="auto" w:sz="8" w:space="0"/>
            </w:tcBorders>
            <w:tcW w:w="3032"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60分以下</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20"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D</w:t>
            </w:r>
            <w:r>
              <w:rPr>
                <w:rFonts w:asciiTheme="majorEastAsia" w:hAnsiTheme="majorEastAsia" w:eastAsiaTheme="majorEastAsia" w:cstheme="majorEastAsia"/>
                <w:sz w:val="24"/>
                <w:szCs w:val="24"/>
              </w:rPr>
            </w:r>
          </w:p>
        </w:tc>
        <w:tc>
          <w:tcPr>
            <w:tcBorders>
              <w:top w:val="none" w:color="000000" w:sz="4" w:space="0"/>
              <w:left w:val="none" w:color="000000" w:sz="4" w:space="0"/>
              <w:bottom w:val="single" w:color="auto" w:sz="8" w:space="0"/>
              <w:right w:val="single" w:color="auto" w:sz="8" w:space="0"/>
            </w:tcBorders>
            <w:tcW w:w="2393"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差</w:t>
            </w:r>
            <w:bookmarkEnd w:id="13"/>
            <w:r>
              <w:rPr>
                <w:rFonts w:asciiTheme="majorEastAsia" w:hAnsiTheme="majorEastAsia" w:eastAsiaTheme="majorEastAsia" w:cstheme="majorEastAsia"/>
                <w:sz w:val="24"/>
                <w:szCs w:val="24"/>
              </w:rPr>
            </w:r>
          </w:p>
        </w:tc>
      </w:tr>
    </w:tbl>
    <w:p>
      <w:pPr>
        <w:pStyle w:val="667"/>
        <w:pBdr/>
        <w:spacing w:line="360" w:lineRule="auto"/>
        <w:ind/>
        <w:outlineLvl w:val="0"/>
        <w:rPr>
          <w:rFonts w:asciiTheme="majorEastAsia" w:hAnsiTheme="majorEastAsia" w:eastAsiaTheme="majorEastAsia" w:cstheme="majorEastAsia"/>
          <w:sz w:val="24"/>
          <w:szCs w:val="24"/>
        </w:rPr>
      </w:pPr>
      <w:r/>
      <w:bookmarkStart w:id="14" w:name="_Toc452659701"/>
      <w:r/>
      <w:bookmarkStart w:id="15" w:name="_Toc419294955"/>
      <w:r>
        <w:rPr>
          <w:rFonts w:hint="eastAsia" w:asciiTheme="majorEastAsia" w:hAnsiTheme="majorEastAsia" w:eastAsiaTheme="majorEastAsia" w:cstheme="majorEastAsia"/>
          <w:sz w:val="24"/>
          <w:szCs w:val="24"/>
        </w:rPr>
        <w:t xml:space="preserve">3.1.4 绩效评价实施过程</w:t>
      </w:r>
      <w:bookmarkEnd w:id="14"/>
      <w:r/>
      <w:bookmarkEnd w:id="15"/>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z w:val="24"/>
          <w:szCs w:val="24"/>
        </w:rPr>
        <w:t xml:space="preserve">根据市财政局《关于开展2017年度市级财政支出绩效评价工作的通知》要求，</w:t>
      </w:r>
      <w:r>
        <w:rPr>
          <w:rFonts w:hint="eastAsia" w:asciiTheme="majorEastAsia" w:hAnsiTheme="majorEastAsia" w:eastAsiaTheme="majorEastAsia" w:cstheme="majorEastAsia"/>
          <w:spacing w:val="4"/>
          <w:sz w:val="24"/>
          <w:szCs w:val="24"/>
        </w:rPr>
        <w:t xml:space="preserve">要求项目实施单位根据通知，组织人员自查、自评，并编写项目绩效自评报告。</w:t>
      </w:r>
      <w:bookmarkStart w:id="16" w:name="_Toc452659703"/>
      <w:r/>
      <w:r>
        <w:rPr>
          <w:rFonts w:asciiTheme="majorEastAsia" w:hAnsiTheme="majorEastAsia" w:eastAsiaTheme="majorEastAsia" w:cstheme="majorEastAsia"/>
          <w:spacing w:val="4"/>
          <w:sz w:val="24"/>
          <w:szCs w:val="24"/>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3.1.5项目绩效分析及评价结论</w:t>
      </w:r>
      <w:bookmarkEnd w:id="16"/>
      <w:r/>
      <w:r>
        <w:rPr>
          <w:rFonts w:asciiTheme="majorEastAsia" w:hAnsiTheme="majorEastAsia" w:eastAsiaTheme="majorEastAsia" w:cstheme="majorEastAsia"/>
          <w:b/>
          <w:bCs/>
          <w:sz w:val="24"/>
          <w:szCs w:val="24"/>
        </w:rPr>
      </w:r>
    </w:p>
    <w:p>
      <w:pPr>
        <w:pStyle w:val="667"/>
        <w:pBdr/>
        <w:spacing w:line="360" w:lineRule="auto"/>
        <w:ind/>
        <w:outlineLvl w:val="0"/>
        <w:rPr>
          <w:rFonts w:asciiTheme="majorEastAsia" w:hAnsiTheme="majorEastAsia" w:eastAsiaTheme="majorEastAsia" w:cstheme="majorEastAsia"/>
          <w:sz w:val="24"/>
          <w:szCs w:val="24"/>
        </w:rPr>
      </w:pPr>
      <w:r/>
      <w:bookmarkStart w:id="17" w:name="_Toc452659704"/>
      <w:r>
        <w:rPr>
          <w:rFonts w:hint="eastAsia" w:asciiTheme="majorEastAsia" w:hAnsiTheme="majorEastAsia" w:eastAsiaTheme="majorEastAsia" w:cstheme="majorEastAsia"/>
          <w:sz w:val="24"/>
          <w:szCs w:val="24"/>
        </w:rPr>
        <w:t xml:space="preserve">3.1.5.1  投入</w:t>
      </w:r>
      <w:bookmarkEnd w:id="17"/>
      <w:r/>
      <w:r>
        <w:rPr>
          <w:rFonts w:asciiTheme="majorEastAsia" w:hAnsiTheme="majorEastAsia" w:eastAsiaTheme="majorEastAsia" w:cstheme="majorEastAsia"/>
          <w:sz w:val="24"/>
          <w:szCs w:val="24"/>
        </w:rPr>
      </w:r>
    </w:p>
    <w:p>
      <w:pPr>
        <w:pBdr/>
        <w:spacing w:line="360" w:lineRule="auto"/>
        <w:ind w:firstLine="480"/>
        <w:rPr>
          <w:rFonts w:asciiTheme="majorEastAsia" w:hAnsiTheme="majorEastAsia" w:eastAsiaTheme="majorEastAsia" w:cstheme="majorEastAsia"/>
          <w:bCs/>
          <w:sz w:val="24"/>
          <w:szCs w:val="24"/>
        </w:rPr>
      </w:pPr>
      <w:r/>
      <w:bookmarkStart w:id="18" w:name="_Toc452655110"/>
      <w:r>
        <w:rPr>
          <w:rFonts w:hint="eastAsia" w:asciiTheme="majorEastAsia" w:hAnsiTheme="majorEastAsia" w:eastAsiaTheme="majorEastAsia" w:cstheme="majorEastAsia"/>
          <w:bCs/>
          <w:sz w:val="24"/>
          <w:szCs w:val="24"/>
        </w:rPr>
        <w:t xml:space="preserve">3.1.5.1.1  绩效目标合理性</w:t>
      </w:r>
      <w:bookmarkEnd w:id="18"/>
      <w:r/>
      <w:r>
        <w:rPr>
          <w:rFonts w:asciiTheme="majorEastAsia" w:hAnsiTheme="majorEastAsia" w:eastAsiaTheme="majorEastAsia" w:cstheme="majorEastAsia"/>
          <w:bCs/>
          <w:sz w:val="24"/>
          <w:szCs w:val="24"/>
        </w:rPr>
      </w:r>
    </w:p>
    <w:p>
      <w:pPr>
        <w:pBdr/>
        <w:spacing w:line="360" w:lineRule="auto"/>
        <w:ind w:firstLine="560" w:left="-1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我们认为，项目制定了长期目标和年度目标。项目绩效目标设立符合市委市政府赋予以随州市统计局职责。项目的顺利实施，对于全面深化改革，促进地方经济发展，保护人民合法权益具有重要意义。</w:t>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bookmarkStart w:id="19" w:name="_Toc452655111"/>
      <w:r>
        <w:rPr>
          <w:rFonts w:hint="eastAsia" w:asciiTheme="majorEastAsia" w:hAnsiTheme="majorEastAsia" w:eastAsiaTheme="majorEastAsia" w:cstheme="majorEastAsia"/>
          <w:bCs/>
          <w:sz w:val="24"/>
          <w:szCs w:val="24"/>
        </w:rPr>
        <w:t xml:space="preserve">3.1.5.1.2  绩效指标明确性</w:t>
      </w:r>
      <w:bookmarkEnd w:id="19"/>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我们认为，项目依据整体绩效目标设定的绩效指标清晰、细化、可衡量。设置了32个绩效指标。</w:t>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bookmarkStart w:id="20" w:name="_Toc452655112"/>
      <w:r>
        <w:rPr>
          <w:rFonts w:hint="eastAsia" w:asciiTheme="majorEastAsia" w:hAnsiTheme="majorEastAsia" w:eastAsiaTheme="majorEastAsia" w:cstheme="majorEastAsia"/>
          <w:bCs/>
          <w:sz w:val="24"/>
          <w:szCs w:val="24"/>
        </w:rPr>
        <w:t xml:space="preserve">3.1.5.1.3  在职人员</w:t>
      </w:r>
      <w:bookmarkEnd w:id="20"/>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经审核，2017年末在职人员19人</w:t>
      </w:r>
      <w:bookmarkStart w:id="21" w:name="_Toc452655113"/>
      <w:r>
        <w:rPr>
          <w:rFonts w:hint="eastAsia" w:asciiTheme="majorEastAsia" w:hAnsiTheme="majorEastAsia" w:eastAsiaTheme="majorEastAsia" w:cstheme="majorEastAsia"/>
          <w:bCs/>
          <w:sz w:val="24"/>
          <w:szCs w:val="24"/>
        </w:rPr>
        <w:t xml:space="preserve">。</w:t>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3.1.5.1.4  “三公经费”</w:t>
      </w:r>
      <w:bookmarkEnd w:id="21"/>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sz w:val="24"/>
          <w:szCs w:val="24"/>
        </w:rPr>
        <w:t xml:space="preserve">通过查阅预算资料，“三公”经费支出预算总计</w:t>
      </w:r>
      <w:bookmarkStart w:id="22" w:name="OLE_LINK1"/>
      <w:r>
        <w:rPr>
          <w:rFonts w:hint="eastAsia" w:asciiTheme="majorEastAsia" w:hAnsiTheme="majorEastAsia" w:eastAsiaTheme="majorEastAsia" w:cstheme="majorEastAsia"/>
          <w:bCs/>
          <w:color w:val="000000"/>
          <w:sz w:val="24"/>
          <w:szCs w:val="24"/>
        </w:rPr>
        <w:t xml:space="preserve">7.27</w:t>
      </w:r>
      <w:bookmarkEnd w:id="22"/>
      <w:r>
        <w:rPr>
          <w:rFonts w:hint="eastAsia" w:asciiTheme="majorEastAsia" w:hAnsiTheme="majorEastAsia" w:eastAsiaTheme="majorEastAsia" w:cstheme="majorEastAsia"/>
          <w:bCs/>
          <w:color w:val="000000"/>
          <w:sz w:val="24"/>
          <w:szCs w:val="24"/>
        </w:rPr>
        <w:t xml:space="preserve">万元，其中：公务用车运行维护费3.55万元，公务接待费1.82万元，因公出国1.9万元。实际支出4.35万元，其中：公务用车运行维护费2.70万元，公务接待费1.64万元，因公出国0.00万元。</w:t>
      </w:r>
      <w:r>
        <w:rPr>
          <w:rFonts w:asciiTheme="majorEastAsia" w:hAnsiTheme="majorEastAsia" w:eastAsiaTheme="majorEastAsia" w:cstheme="majorEastAsia"/>
          <w:bCs/>
          <w:color w:val="000000"/>
          <w:sz w:val="24"/>
          <w:szCs w:val="24"/>
        </w:rPr>
      </w:r>
    </w:p>
    <w:p>
      <w:pPr>
        <w:pBdr/>
        <w:spacing w:line="360" w:lineRule="auto"/>
        <w:ind w:firstLine="480"/>
        <w:rPr>
          <w:rFonts w:asciiTheme="majorEastAsia" w:hAnsiTheme="majorEastAsia" w:eastAsiaTheme="majorEastAsia" w:cstheme="majorEastAsia"/>
          <w:bCs/>
          <w:sz w:val="24"/>
          <w:szCs w:val="24"/>
        </w:rPr>
      </w:pPr>
      <w:r/>
      <w:bookmarkStart w:id="23" w:name="_Toc452655114"/>
      <w:r>
        <w:rPr>
          <w:rFonts w:hint="eastAsia" w:asciiTheme="majorEastAsia" w:hAnsiTheme="majorEastAsia" w:eastAsiaTheme="majorEastAsia" w:cstheme="majorEastAsia"/>
          <w:bCs/>
          <w:sz w:val="24"/>
          <w:szCs w:val="24"/>
        </w:rPr>
        <w:t xml:space="preserve">3.1.5.1.5  重点支出</w:t>
      </w:r>
      <w:bookmarkEnd w:id="23"/>
      <w:r/>
      <w:r>
        <w:rPr>
          <w:rFonts w:asciiTheme="majorEastAsia" w:hAnsiTheme="majorEastAsia" w:eastAsiaTheme="majorEastAsia" w:cstheme="majorEastAsia"/>
          <w:bCs/>
          <w:sz w:val="24"/>
          <w:szCs w:val="24"/>
        </w:rPr>
      </w:r>
    </w:p>
    <w:p>
      <w:pPr>
        <w:pBdr/>
        <w:spacing w:line="360" w:lineRule="auto"/>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通过查阅预算资料，部门年度预算安排重点项目2个，主要指</w:t>
      </w:r>
      <w:r>
        <w:rPr>
          <w:rFonts w:hint="eastAsia" w:asciiTheme="majorEastAsia" w:hAnsiTheme="majorEastAsia" w:eastAsiaTheme="majorEastAsia" w:cstheme="majorEastAsia"/>
          <w:sz w:val="24"/>
          <w:szCs w:val="24"/>
        </w:rPr>
        <w:t xml:space="preserve">第三次农业普查经费和统计专项经费等</w:t>
      </w:r>
      <w:r>
        <w:rPr>
          <w:rFonts w:hint="eastAsia" w:asciiTheme="majorEastAsia" w:hAnsiTheme="majorEastAsia" w:eastAsiaTheme="majorEastAsia" w:cstheme="majorEastAsia"/>
          <w:bCs/>
          <w:sz w:val="24"/>
          <w:szCs w:val="24"/>
        </w:rPr>
        <w:t xml:space="preserve">重点项目支出预算</w:t>
      </w:r>
      <w:r>
        <w:rPr>
          <w:rFonts w:hint="eastAsia" w:asciiTheme="majorEastAsia" w:hAnsiTheme="majorEastAsia" w:eastAsiaTheme="majorEastAsia" w:cstheme="majorEastAsia"/>
          <w:sz w:val="24"/>
          <w:szCs w:val="24"/>
        </w:rPr>
        <w:t xml:space="preserve">480.86</w:t>
      </w:r>
      <w:r>
        <w:rPr>
          <w:rFonts w:hint="eastAsia" w:asciiTheme="majorEastAsia" w:hAnsiTheme="majorEastAsia" w:eastAsiaTheme="majorEastAsia" w:cstheme="majorEastAsia"/>
          <w:bCs/>
          <w:sz w:val="24"/>
          <w:szCs w:val="24"/>
        </w:rPr>
        <w:t xml:space="preserve">万元，实际支出</w:t>
      </w:r>
      <w:r>
        <w:rPr>
          <w:rFonts w:hint="eastAsia" w:asciiTheme="majorEastAsia" w:hAnsiTheme="majorEastAsia" w:eastAsiaTheme="majorEastAsia" w:cstheme="majorEastAsia"/>
          <w:sz w:val="24"/>
          <w:szCs w:val="24"/>
        </w:rPr>
        <w:t xml:space="preserve">115.69</w:t>
      </w:r>
      <w:r>
        <w:rPr>
          <w:rFonts w:hint="eastAsia" w:asciiTheme="majorEastAsia" w:hAnsiTheme="majorEastAsia" w:eastAsiaTheme="majorEastAsia" w:cstheme="majorEastAsia"/>
          <w:bCs/>
          <w:sz w:val="24"/>
          <w:szCs w:val="24"/>
        </w:rPr>
        <w:t xml:space="preserve">万元。</w:t>
      </w:r>
      <w:r>
        <w:rPr>
          <w:rFonts w:asciiTheme="majorEastAsia" w:hAnsiTheme="majorEastAsia" w:eastAsiaTheme="majorEastAsia" w:cstheme="majorEastAsia"/>
          <w:bCs/>
          <w:sz w:val="24"/>
          <w:szCs w:val="24"/>
        </w:rPr>
      </w:r>
    </w:p>
    <w:p>
      <w:pPr>
        <w:pStyle w:val="667"/>
        <w:pBdr/>
        <w:spacing w:line="360" w:lineRule="auto"/>
        <w:ind/>
        <w:outlineLvl w:val="0"/>
        <w:rPr>
          <w:rFonts w:asciiTheme="majorEastAsia" w:hAnsiTheme="majorEastAsia" w:eastAsiaTheme="majorEastAsia" w:cstheme="majorEastAsia"/>
          <w:sz w:val="24"/>
          <w:szCs w:val="24"/>
        </w:rPr>
      </w:pPr>
      <w:r/>
      <w:bookmarkStart w:id="24" w:name="_Toc452659705"/>
      <w:r>
        <w:rPr>
          <w:rFonts w:hint="eastAsia" w:asciiTheme="majorEastAsia" w:hAnsiTheme="majorEastAsia" w:eastAsiaTheme="majorEastAsia" w:cstheme="majorEastAsia"/>
          <w:sz w:val="24"/>
          <w:szCs w:val="24"/>
        </w:rPr>
        <w:t xml:space="preserve">3.1.5.2  过程</w:t>
      </w:r>
      <w:bookmarkEnd w:id="24"/>
      <w:r/>
      <w:bookmarkStart w:id="25" w:name="_Toc452655124"/>
      <w:r/>
      <w:bookmarkEnd w:id="25"/>
      <w:r>
        <w:rPr>
          <w:rFonts w:asciiTheme="majorEastAsia" w:hAnsiTheme="majorEastAsia" w:eastAsiaTheme="majorEastAsia" w:cstheme="majorEastAsia"/>
          <w:sz w:val="24"/>
          <w:szCs w:val="24"/>
        </w:rPr>
      </w:r>
    </w:p>
    <w:p>
      <w:pPr>
        <w:pBdr/>
        <w:spacing w:line="360" w:lineRule="auto"/>
        <w:ind w:left="570"/>
        <w:rPr>
          <w:rFonts w:asciiTheme="majorEastAsia" w:hAnsiTheme="majorEastAsia" w:eastAsiaTheme="majorEastAsia" w:cstheme="majorEastAsia"/>
          <w:sz w:val="24"/>
          <w:szCs w:val="24"/>
        </w:rPr>
      </w:pPr>
      <w:r/>
      <w:bookmarkStart w:id="26" w:name="_Toc452659706"/>
      <w:r>
        <w:rPr>
          <w:rFonts w:hint="eastAsia" w:asciiTheme="majorEastAsia" w:hAnsiTheme="majorEastAsia" w:eastAsiaTheme="majorEastAsia" w:cstheme="majorEastAsia"/>
          <w:sz w:val="24"/>
          <w:szCs w:val="24"/>
        </w:rPr>
        <w:t xml:space="preserve">3.1.5.2.1预算执行率</w:t>
      </w:r>
      <w:r>
        <w:rPr>
          <w:rFonts w:asciiTheme="majorEastAsia" w:hAnsiTheme="majorEastAsia" w:eastAsiaTheme="majorEastAsia" w:cstheme="majorEastAsia"/>
          <w:sz w:val="24"/>
          <w:szCs w:val="24"/>
        </w:rPr>
      </w:r>
    </w:p>
    <w:p>
      <w:pPr>
        <w:pBdr/>
        <w:spacing w:line="360" w:lineRule="auto"/>
        <w:ind w:firstLine="480" w:left="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通过查阅预决算资料，部门年度批复预算为831.06万元，年度预算调整后为704.24万元，实际执行为704.24万元,与年初批复预算支出比，预算执行率为85%。</w:t>
      </w:r>
      <w:r>
        <w:rPr>
          <w:rFonts w:asciiTheme="majorEastAsia" w:hAnsiTheme="majorEastAsia" w:eastAsiaTheme="majorEastAsia" w:cstheme="majorEastAsia"/>
          <w:sz w:val="24"/>
          <w:szCs w:val="24"/>
        </w:rPr>
      </w:r>
    </w:p>
    <w:p>
      <w:pPr>
        <w:pBdr/>
        <w:spacing w:line="360" w:lineRule="auto"/>
        <w:ind w:left="57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3.1.5.2.2预算调整率</w:t>
      </w:r>
      <w:r>
        <w:rPr>
          <w:rFonts w:asciiTheme="majorEastAsia" w:hAnsiTheme="majorEastAsia" w:eastAsiaTheme="majorEastAsia" w:cstheme="majorEastAsia"/>
          <w:sz w:val="24"/>
          <w:szCs w:val="24"/>
        </w:rPr>
      </w:r>
    </w:p>
    <w:p>
      <w:pPr>
        <w:pBdr/>
        <w:spacing w:line="360" w:lineRule="auto"/>
        <w:ind w:firstLine="559" w:left="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部门年度预算为831.06万元，年度预算调整后为704.24万元，调整金额126.82万元，预算调整率15%。</w:t>
      </w:r>
      <w:r>
        <w:rPr>
          <w:rFonts w:asciiTheme="majorEastAsia" w:hAnsiTheme="majorEastAsia" w:eastAsiaTheme="majorEastAsia" w:cstheme="majorEastAsia"/>
          <w:sz w:val="24"/>
          <w:szCs w:val="24"/>
        </w:rPr>
      </w:r>
    </w:p>
    <w:p>
      <w:pPr>
        <w:pBdr/>
        <w:spacing w:line="360" w:lineRule="auto"/>
        <w:ind w:left="57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3.1.5.2.3支付进度率</w:t>
      </w:r>
      <w:r>
        <w:rPr>
          <w:rFonts w:asciiTheme="majorEastAsia" w:hAnsiTheme="majorEastAsia" w:eastAsiaTheme="majorEastAsia" w:cstheme="majorEastAsia"/>
          <w:sz w:val="24"/>
          <w:szCs w:val="24"/>
        </w:rPr>
      </w:r>
    </w:p>
    <w:p>
      <w:pPr>
        <w:pBdr/>
        <w:spacing w:line="360" w:lineRule="auto"/>
        <w:ind w:firstLine="559" w:left="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通过查阅预决算资料，根据部门预决算支出执行情况表，全年决算704.24万元在当年支付611.36万元，支付进度率为87%。 </w:t>
      </w:r>
      <w:r>
        <w:rPr>
          <w:rFonts w:asciiTheme="majorEastAsia" w:hAnsiTheme="majorEastAsia" w:eastAsiaTheme="majorEastAsia" w:cstheme="majorEastAsia"/>
          <w:sz w:val="24"/>
          <w:szCs w:val="24"/>
        </w:rPr>
      </w:r>
    </w:p>
    <w:p>
      <w:pPr>
        <w:pBdr/>
        <w:spacing w:line="360" w:lineRule="auto"/>
        <w:ind w:left="57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3.1.5.2.4结转结余率</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通过查阅预决算资料，部门本年度结余结转金额92.87万元，全年支出决算总额704.24万元，结转结余率为13.19%。年度结转结余得到有效控制。</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3.1.5.2.5结转结余变动率</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通过查阅预决算资料，部门本年度结余结转资金总额92.87万元，上年度结余结转资金总额306.75万元，结转结余变动率-69%。</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3.1.5.2.6公用经费控制率</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通过查阅预决算资料，部门预算安排的公用</w:t>
      </w:r>
      <w:r>
        <w:rPr>
          <w:rFonts w:hint="eastAsia" w:asciiTheme="majorEastAsia" w:hAnsiTheme="majorEastAsia" w:eastAsiaTheme="majorEastAsia" w:cstheme="majorEastAsia"/>
          <w:color w:val="000000"/>
          <w:sz w:val="24"/>
          <w:szCs w:val="24"/>
        </w:rPr>
        <w:t xml:space="preserve">经费总额为266.9万元，实际支出的公用经费总额为61.37万元，公用经费控制率23%。</w:t>
      </w:r>
      <w:r>
        <w:rPr>
          <w:rFonts w:hint="eastAsia" w:asciiTheme="majorEastAsia" w:hAnsiTheme="majorEastAsia" w:eastAsiaTheme="majorEastAsia" w:cstheme="majorEastAsia"/>
          <w:sz w:val="24"/>
          <w:szCs w:val="24"/>
        </w:rPr>
        <w:t xml:space="preserve">公用经费得到有效控制。</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3.1.5.2.7“三公经费”控制率</w:t>
      </w:r>
      <w:r>
        <w:rPr>
          <w:rFonts w:asciiTheme="majorEastAsia" w:hAnsiTheme="majorEastAsia" w:eastAsiaTheme="majorEastAsia" w:cstheme="majorEastAsia"/>
          <w:sz w:val="24"/>
          <w:szCs w:val="24"/>
        </w:rPr>
      </w:r>
    </w:p>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部门“三公经费”实际支出数为4.35万元，“三公经费”预算数为7.27万元，控制率为60%，对“三公经费”进行了有效的控制和压缩。这是认真贯彻落实中央八项规定要求，厉行节约、严格控制支出的结果。实施公务用车制度改革，加强公务用车管理，规范公务接待活动，使得“三公”经费单项支出均有所下降。具体如下表：三公经费执行情况表</w:t>
      </w:r>
      <w:r>
        <w:rPr>
          <w:rFonts w:asciiTheme="majorEastAsia" w:hAnsiTheme="majorEastAsia" w:eastAsiaTheme="majorEastAsia" w:cstheme="majorEastAsia"/>
          <w:sz w:val="24"/>
          <w:szCs w:val="24"/>
        </w:rPr>
      </w:r>
    </w:p>
    <w:tbl>
      <w:tblPr>
        <w:tblStyle w:val="669"/>
        <w:tblW w:w="8967" w:type="dxa"/>
        <w:tblInd w:w="189" w:type="dxa"/>
        <w:tblBorders/>
        <w:tblLayout w:type="fixed"/>
        <w:tblCellMar>
          <w:left w:w="115" w:type="dxa"/>
          <w:top w:w="35" w:type="dxa"/>
          <w:right w:w="3" w:type="dxa"/>
          <w:bottom w:w="0" w:type="dxa"/>
        </w:tblCellMar>
        <w:tblLook w:val="04A0" w:firstRow="1" w:lastRow="0" w:firstColumn="1" w:lastColumn="0" w:noHBand="0" w:noVBand="1"/>
      </w:tblPr>
      <w:tblGrid>
        <w:gridCol w:w="3073"/>
        <w:gridCol w:w="2760"/>
        <w:gridCol w:w="3134"/>
      </w:tblGrid>
      <w:tr>
        <w:trPr>
          <w:trHeight w:val="407"/>
        </w:trPr>
        <w:tc>
          <w:tcPr>
            <w:tcBorders>
              <w:top w:val="single" w:color="000000" w:sz="4" w:space="0"/>
              <w:left w:val="single" w:color="000000" w:sz="4" w:space="0"/>
              <w:bottom w:val="single" w:color="000000" w:sz="4" w:space="0"/>
              <w:right w:val="single" w:color="000000" w:sz="4" w:space="0"/>
            </w:tcBorders>
            <w:tcW w:w="3073"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 目</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2760" w:type="dxa"/>
            <w:textDirection w:val="lrTb"/>
            <w:noWrap w:val="false"/>
          </w:tcPr>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预算数（万元）</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3134" w:type="dxa"/>
            <w:textDirection w:val="lrTb"/>
            <w:noWrap w:val="false"/>
          </w:tcPr>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决算数（万元）</w:t>
            </w:r>
            <w:r>
              <w:rPr>
                <w:rFonts w:asciiTheme="majorEastAsia" w:hAnsiTheme="majorEastAsia" w:eastAsiaTheme="majorEastAsia" w:cstheme="majorEastAsia"/>
                <w:sz w:val="24"/>
                <w:szCs w:val="24"/>
              </w:rPr>
            </w:r>
          </w:p>
        </w:tc>
      </w:tr>
      <w:tr>
        <w:trPr>
          <w:trHeight w:val="407"/>
        </w:trPr>
        <w:tc>
          <w:tcPr>
            <w:tcBorders>
              <w:top w:val="single" w:color="000000" w:sz="4" w:space="0"/>
              <w:left w:val="single" w:color="000000" w:sz="4" w:space="0"/>
              <w:bottom w:val="single" w:color="000000" w:sz="4" w:space="0"/>
              <w:right w:val="single" w:color="000000" w:sz="4" w:space="0"/>
            </w:tcBorders>
            <w:tcW w:w="3073" w:type="dxa"/>
            <w:textDirection w:val="lrTb"/>
            <w:noWrap w:val="false"/>
          </w:tcPr>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因公出国（境）费用</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2760"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1.9</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3134"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0.00</w:t>
            </w:r>
            <w:r>
              <w:rPr>
                <w:rFonts w:asciiTheme="majorEastAsia" w:hAnsiTheme="majorEastAsia" w:eastAsiaTheme="majorEastAsia" w:cstheme="majorEastAsia"/>
                <w:sz w:val="24"/>
                <w:szCs w:val="24"/>
              </w:rPr>
            </w:r>
          </w:p>
        </w:tc>
      </w:tr>
      <w:tr>
        <w:trPr>
          <w:trHeight w:val="407"/>
        </w:trPr>
        <w:tc>
          <w:tcPr>
            <w:tcBorders>
              <w:top w:val="single" w:color="000000" w:sz="4" w:space="0"/>
              <w:left w:val="single" w:color="000000" w:sz="4" w:space="0"/>
              <w:bottom w:val="single" w:color="000000" w:sz="4" w:space="0"/>
              <w:right w:val="single" w:color="000000" w:sz="4" w:space="0"/>
            </w:tcBorders>
            <w:tcW w:w="3073" w:type="dxa"/>
            <w:textDirection w:val="lrTb"/>
            <w:noWrap w:val="false"/>
          </w:tcPr>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公务用车运行维护费</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2760"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3.55</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3134"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2.70</w:t>
            </w:r>
            <w:r>
              <w:rPr>
                <w:rFonts w:asciiTheme="majorEastAsia" w:hAnsiTheme="majorEastAsia" w:eastAsiaTheme="majorEastAsia" w:cstheme="majorEastAsia"/>
                <w:sz w:val="24"/>
                <w:szCs w:val="24"/>
              </w:rPr>
            </w:r>
          </w:p>
        </w:tc>
      </w:tr>
      <w:tr>
        <w:trPr>
          <w:trHeight w:val="407"/>
        </w:trPr>
        <w:tc>
          <w:tcPr>
            <w:tcBorders>
              <w:top w:val="single" w:color="000000" w:sz="4" w:space="0"/>
              <w:left w:val="single" w:color="000000" w:sz="4" w:space="0"/>
              <w:bottom w:val="single" w:color="000000" w:sz="4" w:space="0"/>
              <w:right w:val="single" w:color="000000" w:sz="6" w:space="0"/>
            </w:tcBorders>
            <w:tcW w:w="3073" w:type="dxa"/>
            <w:textDirection w:val="lrTb"/>
            <w:noWrap w:val="false"/>
          </w:tcPr>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公务接待费</w:t>
            </w:r>
            <w:r>
              <w:rPr>
                <w:rFonts w:asciiTheme="majorEastAsia" w:hAnsiTheme="majorEastAsia" w:eastAsiaTheme="majorEastAsia" w:cstheme="majorEastAsia"/>
                <w:sz w:val="24"/>
                <w:szCs w:val="24"/>
              </w:rPr>
            </w:r>
          </w:p>
        </w:tc>
        <w:tc>
          <w:tcPr>
            <w:tcBorders>
              <w:top w:val="single" w:color="000000" w:sz="4" w:space="0"/>
              <w:left w:val="single" w:color="000000" w:sz="6" w:space="0"/>
              <w:bottom w:val="single" w:color="000000" w:sz="4" w:space="0"/>
              <w:right w:val="single" w:color="000000" w:sz="6" w:space="0"/>
            </w:tcBorders>
            <w:tcW w:w="2760"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1.82</w:t>
            </w:r>
            <w:r>
              <w:rPr>
                <w:rFonts w:asciiTheme="majorEastAsia" w:hAnsiTheme="majorEastAsia" w:eastAsiaTheme="majorEastAsia" w:cstheme="majorEastAsia"/>
                <w:sz w:val="24"/>
                <w:szCs w:val="24"/>
              </w:rPr>
            </w:r>
          </w:p>
        </w:tc>
        <w:tc>
          <w:tcPr>
            <w:tcBorders>
              <w:top w:val="single" w:color="000000" w:sz="4" w:space="0"/>
              <w:left w:val="single" w:color="000000" w:sz="6" w:space="0"/>
              <w:bottom w:val="single" w:color="000000" w:sz="4" w:space="0"/>
              <w:right w:val="single" w:color="000000" w:sz="4" w:space="0"/>
            </w:tcBorders>
            <w:tcW w:w="3134"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1.64</w:t>
            </w:r>
            <w:r>
              <w:rPr>
                <w:rFonts w:asciiTheme="majorEastAsia" w:hAnsiTheme="majorEastAsia" w:eastAsiaTheme="majorEastAsia" w:cstheme="majorEastAsia"/>
                <w:sz w:val="24"/>
                <w:szCs w:val="24"/>
              </w:rPr>
            </w:r>
          </w:p>
        </w:tc>
      </w:tr>
      <w:tr>
        <w:trPr>
          <w:trHeight w:val="407"/>
        </w:trPr>
        <w:tc>
          <w:tcPr>
            <w:tcBorders>
              <w:top w:val="single" w:color="000000" w:sz="4" w:space="0"/>
              <w:left w:val="single" w:color="000000" w:sz="4" w:space="0"/>
              <w:bottom w:val="single" w:color="000000" w:sz="4" w:space="0"/>
              <w:right w:val="single" w:color="000000" w:sz="4" w:space="0"/>
            </w:tcBorders>
            <w:tcW w:w="3073"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合 计</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2760"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7.27</w:t>
            </w:r>
            <w:r>
              <w:rPr>
                <w:rFonts w:asciiTheme="majorEastAsia" w:hAnsiTheme="majorEastAsia" w:eastAsiaTheme="majorEastAsia" w:cstheme="majorEastAsia"/>
                <w:sz w:val="24"/>
                <w:szCs w:val="24"/>
              </w:rPr>
            </w:r>
          </w:p>
        </w:tc>
        <w:tc>
          <w:tcPr>
            <w:tcBorders>
              <w:top w:val="single" w:color="000000" w:sz="4" w:space="0"/>
              <w:left w:val="single" w:color="000000" w:sz="4" w:space="0"/>
              <w:bottom w:val="single" w:color="000000" w:sz="4" w:space="0"/>
              <w:right w:val="single" w:color="000000" w:sz="4" w:space="0"/>
            </w:tcBorders>
            <w:tcW w:w="3134" w:type="dxa"/>
            <w:textDirection w:val="lrTb"/>
            <w:noWrap w:val="false"/>
          </w:tcPr>
          <w:p>
            <w:pPr>
              <w:pBdr/>
              <w:spacing w:line="360" w:lineRule="auto"/>
              <w:ind w:firstLine="561" w:left="-17"/>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4.34</w:t>
            </w:r>
            <w:r>
              <w:rPr>
                <w:rFonts w:asciiTheme="majorEastAsia" w:hAnsiTheme="majorEastAsia" w:eastAsiaTheme="majorEastAsia" w:cstheme="majorEastAsia"/>
                <w:sz w:val="24"/>
                <w:szCs w:val="24"/>
              </w:rPr>
            </w:r>
          </w:p>
        </w:tc>
      </w:tr>
    </w:tbl>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3.1.5.2.8政府采购执行率</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通过查阅预决算资料，本年度部门政府采购执行率为100%。</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3.1.5.2.9资金使用合规性我们认为，项目实施符合财务管理制度规定。</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严格执行项目公示制，确保机关正常运转，保重点工作投入的指导思想和“量入为出，收支平衡”的原则，在规范管理、严格制度上下</w:t>
      </w:r>
      <w:r>
        <w:rPr>
          <w:rFonts w:hint="eastAsia" w:asciiTheme="majorEastAsia" w:hAnsiTheme="majorEastAsia" w:eastAsiaTheme="majorEastAsia" w:cstheme="majorEastAsia"/>
          <w:sz w:val="24"/>
          <w:szCs w:val="24"/>
        </w:rPr>
        <w:t xml:space="preserve">功</w:t>
      </w:r>
      <w:r>
        <w:rPr>
          <w:rFonts w:hint="eastAsia" w:asciiTheme="majorEastAsia" w:hAnsiTheme="majorEastAsia" w:eastAsiaTheme="majorEastAsia" w:cstheme="majorEastAsia"/>
          <w:sz w:val="24"/>
          <w:szCs w:val="24"/>
        </w:rPr>
        <w:t xml:space="preserve">夫，严格执行国库集中支付、公务卡消费、差旅费、会议费和政府采购等制度。同时，严格贯彻执行</w:t>
      </w:r>
      <w:r>
        <w:rPr>
          <w:rFonts w:hint="eastAsia" w:asciiTheme="majorEastAsia" w:hAnsiTheme="majorEastAsia" w:eastAsiaTheme="majorEastAsia" w:cstheme="majorEastAsia"/>
          <w:sz w:val="24"/>
          <w:szCs w:val="24"/>
          <w:lang w:eastAsia="zh-CN"/>
        </w:rPr>
        <w:t xml:space="preserve">中央八项规定</w:t>
      </w:r>
      <w:r>
        <w:rPr>
          <w:rFonts w:hint="eastAsia" w:asciiTheme="majorEastAsia" w:hAnsiTheme="majorEastAsia" w:eastAsiaTheme="majorEastAsia" w:cstheme="majorEastAsia"/>
          <w:sz w:val="24"/>
          <w:szCs w:val="24"/>
        </w:rPr>
        <w:t xml:space="preserve">，尽力压缩一般性支出，严格控制“三公经费”。同时要求财务和资产管理人员要做到政治上清醒坚定、业务上内行精明、作风上廉洁自律、工作中团结协作，努力打造一只高素质的财务干部队伍。经检查相关收支凭证、资金发放台账和面访等检查，有完整的审批程序，符合项目预算批复的用途。我们认为，资金分配是符合相关管理办法；分配结果合理，分配结果客观、公开、公平、公正。</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3.1.5.2.10预决算信息公开性</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按照预决算信息公开要求，2017年预算在门户网站公告专栏栏目上公开，并对预算的收入情况、项目支出明细情况都作了相应的说明。</w:t>
      </w:r>
      <w:r>
        <w:rPr>
          <w:rFonts w:asciiTheme="majorEastAsia" w:hAnsiTheme="majorEastAsia" w:eastAsiaTheme="majorEastAsia" w:cstheme="majorEastAsia"/>
          <w:sz w:val="24"/>
          <w:szCs w:val="24"/>
        </w:rPr>
      </w:r>
    </w:p>
    <w:p>
      <w:pPr>
        <w:pBdr/>
        <w:spacing w:line="360" w:lineRule="auto"/>
        <w:ind w:right="125" w:firstLine="55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3.1.5.2.11资产管理安全性</w:t>
      </w:r>
      <w:r>
        <w:rPr>
          <w:rFonts w:asciiTheme="majorEastAsia" w:hAnsiTheme="majorEastAsia" w:eastAsiaTheme="majorEastAsia" w:cstheme="majorEastAsia"/>
          <w:sz w:val="24"/>
          <w:szCs w:val="24"/>
        </w:rPr>
      </w:r>
    </w:p>
    <w:p>
      <w:pPr>
        <w:pBdr/>
        <w:spacing w:line="360" w:lineRule="auto"/>
        <w:ind w:firstLine="56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年末固定资产总额为164.69万元，主要包括专用设备、电脑、办公家俱用品等。根据国家有关规定，结合单位实际情况，制定出台了固定资产管理制度，对固定资产的采购、保管、使用、维护、清查盘点、处置等做出详细规定。根据制度，购买固定资产涉及政府采购，均严格实施政府采购，并严格验收；指定专人管理固定资产，正确使用，做好维护维修工作，年底对固定资产进行盘点，并与财务核对，做到账实相符；对固定资产的处置，严格走财政规定的固定资产报废或处置程序。资产运行具有较高的安全性。</w:t>
      </w:r>
      <w:r>
        <w:rPr>
          <w:rFonts w:asciiTheme="majorEastAsia" w:hAnsiTheme="majorEastAsia" w:eastAsiaTheme="majorEastAsia" w:cstheme="majorEastAsia"/>
          <w:sz w:val="24"/>
          <w:szCs w:val="24"/>
        </w:rPr>
      </w:r>
    </w:p>
    <w:p>
      <w:pPr>
        <w:pBdr/>
        <w:spacing w:line="360" w:lineRule="auto"/>
        <w:ind w:left="57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3.1.5.2.12固定资产利用率</w:t>
      </w:r>
      <w:r>
        <w:rPr>
          <w:rFonts w:asciiTheme="majorEastAsia" w:hAnsiTheme="majorEastAsia" w:eastAsiaTheme="majorEastAsia" w:cstheme="majorEastAsia"/>
          <w:sz w:val="24"/>
          <w:szCs w:val="24"/>
        </w:rPr>
      </w:r>
    </w:p>
    <w:p>
      <w:pPr>
        <w:pBdr/>
        <w:spacing w:line="360" w:lineRule="auto"/>
        <w:ind w:firstLine="560" w:left="-1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2017年末实际在用固定资产总额为164.69万元，部门所有固定资产总额为164.69万元，固定资产利用率100%。</w:t>
      </w:r>
      <w:r>
        <w:rPr>
          <w:rFonts w:asciiTheme="majorEastAsia" w:hAnsiTheme="majorEastAsia" w:eastAsiaTheme="majorEastAsia" w:cstheme="majorEastAsia"/>
          <w:sz w:val="24"/>
          <w:szCs w:val="24"/>
        </w:rPr>
      </w:r>
    </w:p>
    <w:p>
      <w:pPr>
        <w:widowControl w:val="true"/>
        <w:pBdr/>
        <w:shd w:val="clear" w:color="auto" w:fill="ffffff"/>
        <w:spacing w:line="360" w:lineRule="auto"/>
        <w:ind w:firstLine="560"/>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3.1.5.3  产出</w:t>
      </w:r>
      <w:bookmarkEnd w:id="26"/>
      <w:r/>
      <w:r>
        <w:rPr>
          <w:rFonts w:asciiTheme="majorEastAsia" w:hAnsiTheme="majorEastAsia" w:eastAsiaTheme="majorEastAsia" w:cstheme="majorEastAsia"/>
          <w:b/>
          <w:bCs/>
          <w:sz w:val="24"/>
          <w:szCs w:val="24"/>
        </w:rPr>
      </w:r>
    </w:p>
    <w:p>
      <w:pPr>
        <w:pBdr/>
        <w:spacing w:line="360" w:lineRule="auto"/>
        <w:ind w:firstLine="560" w:left="-15"/>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2017年，随州市统计局在市委市政府的坚强领导下，深刻领悟四个全面战略布局，全面履职尽责担重任，全面完成了统计各项工作。</w:t>
      </w:r>
      <w:r>
        <w:rPr>
          <w:rFonts w:asciiTheme="majorEastAsia" w:hAnsiTheme="majorEastAsia" w:eastAsiaTheme="majorEastAsia" w:cstheme="majorEastAsia"/>
          <w:color w:val="000000" w:themeColor="text1"/>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bookmarkStart w:id="27" w:name="_Toc452659707"/>
      <w:r>
        <w:rPr>
          <w:rFonts w:hint="eastAsia" w:asciiTheme="majorEastAsia" w:hAnsiTheme="majorEastAsia" w:eastAsiaTheme="majorEastAsia" w:cstheme="majorEastAsia"/>
          <w:b w:val="0"/>
          <w:bCs w:val="0"/>
          <w:sz w:val="24"/>
          <w:szCs w:val="24"/>
        </w:rPr>
        <w:t xml:space="preserve">3.1.5.3.1.</w:t>
      </w:r>
      <w:r>
        <w:rPr>
          <w:rFonts w:hint="eastAsia"/>
        </w:rPr>
        <w:t xml:space="preserve"> </w:t>
      </w:r>
      <w:r>
        <w:rPr>
          <w:rFonts w:hint="eastAsia" w:asciiTheme="majorEastAsia" w:hAnsiTheme="majorEastAsia" w:eastAsiaTheme="majorEastAsia" w:cstheme="majorEastAsia"/>
          <w:b w:val="0"/>
          <w:bCs w:val="0"/>
          <w:sz w:val="24"/>
          <w:szCs w:val="24"/>
        </w:rPr>
        <w:t xml:space="preserve">重新修订完善了《全市统计诚信企业创建活动实施方案》，建立我市企业统计信用制度；建立了全市统计人员信用档案；研究制定了我市《关于加强统计领域信用建设的若干规定》；制定了《统计执法“双随机”抽查细则》；建立完善《统计执法人员数据库》和《统计执法对象数据库》；制定了《统计执法检查规范》；制定了我市《关于建立违规干预统计工作记录制度的办法》，并在全市统计系统内严格贯彻落实；修订完善我市《统计举报制度》。</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3.1.5.3.2. 全年共开展月度新增单位现场核查9次，核查企业193家，核查通过171家，通过率88.6%。提升了源头统计数据质量。在全市范围内组织开展数据质量核查6次，共核查企业81家。其中工业企业25家，投资项目56个，共核减虚报工业总产值56059万元，虚报固定资产投资完成额75899万元，核增漏报工业总产值6140.7万元。通过核查，进一步提升了统计数据质量。</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3.1.5.3.3.</w:t>
      </w:r>
      <w:r>
        <w:rPr>
          <w:rFonts w:hint="eastAsia"/>
        </w:rPr>
        <w:t xml:space="preserve"> </w:t>
      </w:r>
      <w:r>
        <w:rPr>
          <w:rFonts w:hint="eastAsia" w:asciiTheme="majorEastAsia" w:hAnsiTheme="majorEastAsia" w:eastAsiaTheme="majorEastAsia" w:cstheme="majorEastAsia"/>
          <w:b w:val="0"/>
          <w:bCs w:val="0"/>
          <w:sz w:val="24"/>
          <w:szCs w:val="24"/>
        </w:rPr>
        <w:t xml:space="preserve">在全市开展了统计基层基础建设工作“回头看”活动，进一步加强乡镇统计基础建设，巩固乡镇统计“八有八化”和村级统计“五有五化”成果，全市所有乡镇基本实现“八有八化”，92.7%的村实现了“五有五化”。</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3.1.5.3.4.全市共登记录入农户42.39万户、规模户4171户、农业经营单位1631家。前后开展了8次数据质量复查督办工作，共检查35个镇、45个村、52个普查小区、590户农户。先后对各县（市、区）进行了90轮（次）数据审核和核查，数据质量得到明显提升。</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3.1.5.3.5.</w:t>
      </w:r>
      <w:r>
        <w:rPr>
          <w:rFonts w:hint="eastAsia"/>
        </w:rPr>
        <w:t xml:space="preserve"> </w:t>
      </w:r>
      <w:r>
        <w:rPr>
          <w:rFonts w:hint="eastAsia" w:asciiTheme="majorEastAsia" w:hAnsiTheme="majorEastAsia" w:eastAsiaTheme="majorEastAsia" w:cstheme="majorEastAsia"/>
          <w:b w:val="0"/>
          <w:bCs w:val="0"/>
          <w:sz w:val="24"/>
          <w:szCs w:val="24"/>
        </w:rPr>
        <w:t xml:space="preserve">坚持编印《统计年鉴》、《领导干部手册》和《统计月报》等统计产品；在《随州日报》、随州政府门户网站等市级主流媒体发布各种统计公报，服务社会大众；积极探索新媒体服务模式，开通创建了随州统计微信公众号。“数库”服务保障开创立体化多元化新模式。</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3.1.5.3.6.</w:t>
      </w:r>
      <w:r>
        <w:rPr>
          <w:rFonts w:hint="eastAsia"/>
        </w:rPr>
        <w:t xml:space="preserve"> </w:t>
      </w:r>
      <w:r>
        <w:rPr>
          <w:rFonts w:hint="eastAsia" w:asciiTheme="majorEastAsia" w:hAnsiTheme="majorEastAsia" w:eastAsiaTheme="majorEastAsia" w:cstheme="majorEastAsia"/>
          <w:b w:val="0"/>
          <w:bCs w:val="0"/>
          <w:sz w:val="24"/>
          <w:szCs w:val="24"/>
        </w:rPr>
        <w:t xml:space="preserve">认真研究落实县域镇域发展“培基工程”的各项工作部署，发挥统计数据资源优势，精准监测县域镇域发展状况。配合市委组织部将省定我市责任目标指标细化分解到各市直部门，确定权重分值，推动全市各项工作责任到位。积极监测省定我市政绩目标考核指标完成情况，提供相关数据。共向帮扶村落实帮扶资金12万余元，干部职工踊跃捐款7千余元，扶贫工作队先后15次到帮扶村开展帮扶工作。</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3.1.5.3.7.</w:t>
      </w:r>
      <w:r>
        <w:rPr>
          <w:rFonts w:hint="eastAsia"/>
        </w:rPr>
        <w:t xml:space="preserve"> </w:t>
      </w:r>
      <w:r>
        <w:rPr>
          <w:rFonts w:hint="eastAsia" w:asciiTheme="majorEastAsia" w:hAnsiTheme="majorEastAsia" w:eastAsiaTheme="majorEastAsia" w:cstheme="majorEastAsia"/>
          <w:b w:val="0"/>
          <w:bCs w:val="0"/>
          <w:sz w:val="24"/>
          <w:szCs w:val="24"/>
        </w:rPr>
        <w:t xml:space="preserve">及时拟定《认真学习宣传贯彻党的十九大精神工作方案》（随统党发〔2017〕16号），成立了“新时代随州统计讲习所”，成功举办全市统计干部作风能力提升班，提升了调查单位统计人员业务能力素质。</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3.1.5.3.8.</w:t>
      </w:r>
      <w:r>
        <w:rPr>
          <w:rFonts w:hint="eastAsia"/>
        </w:rPr>
        <w:t xml:space="preserve"> </w:t>
      </w:r>
      <w:r>
        <w:rPr>
          <w:rFonts w:hint="eastAsia" w:asciiTheme="majorEastAsia" w:hAnsiTheme="majorEastAsia" w:eastAsiaTheme="majorEastAsia" w:cstheme="majorEastAsia"/>
          <w:b w:val="0"/>
          <w:bCs w:val="0"/>
          <w:sz w:val="24"/>
          <w:szCs w:val="24"/>
        </w:rPr>
        <w:t xml:space="preserve">坚持旗帜鲜明讲政治、站位高远讲大局、胸襟坦荡讲团结、务实重行讲业绩、恪守本分讲廉政。局党组召开涉及“三重一大”事项的会议22次，研究重大开支21笔，研究重大活动7次，研究重要人事任免事项5次，每次研究前均向派驻纪检组进行了报告。今年来，未出现违规违纪问题。</w:t>
      </w:r>
      <w:r>
        <w:rPr>
          <w:rFonts w:asciiTheme="majorEastAsia" w:hAnsiTheme="majorEastAsia" w:eastAsiaTheme="majorEastAsia" w:cstheme="majorEastAsia"/>
          <w:b w:val="0"/>
          <w:bCs w:val="0"/>
          <w:sz w:val="24"/>
          <w:szCs w:val="24"/>
        </w:rPr>
      </w:r>
    </w:p>
    <w:p>
      <w:pPr>
        <w:pStyle w:val="667"/>
        <w:pBdr/>
        <w:spacing w:line="360" w:lineRule="auto"/>
        <w:ind/>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3.1.5.4  </w:t>
      </w:r>
      <w:bookmarkEnd w:id="27"/>
      <w:r>
        <w:rPr>
          <w:rFonts w:hint="eastAsia" w:asciiTheme="majorEastAsia" w:hAnsiTheme="majorEastAsia" w:eastAsiaTheme="majorEastAsia" w:cstheme="majorEastAsia"/>
          <w:sz w:val="24"/>
          <w:szCs w:val="24"/>
        </w:rPr>
        <w:t xml:space="preserve">效益</w:t>
      </w:r>
      <w:r>
        <w:rPr>
          <w:rFonts w:asciiTheme="majorEastAsia" w:hAnsiTheme="majorEastAsia" w:eastAsiaTheme="majorEastAsia" w:cstheme="majorEastAsia"/>
          <w:sz w:val="24"/>
          <w:szCs w:val="24"/>
        </w:rPr>
      </w:r>
    </w:p>
    <w:p>
      <w:pPr>
        <w:widowControl w:val="true"/>
        <w:pBdr/>
        <w:spacing w:line="360" w:lineRule="auto"/>
        <w:ind w:firstLine="641"/>
        <w:jc w:val="left"/>
        <w:rPr>
          <w:rFonts w:asciiTheme="majorEastAsia" w:hAnsiTheme="majorEastAsia" w:eastAsiaTheme="majorEastAsia" w:cstheme="majorEastAsia"/>
          <w:sz w:val="24"/>
          <w:szCs w:val="24"/>
        </w:rPr>
      </w:pPr>
      <w:r/>
      <w:bookmarkStart w:id="28" w:name="_Toc452659708"/>
      <w:r>
        <w:rPr>
          <w:rFonts w:hint="eastAsia" w:asciiTheme="majorEastAsia" w:hAnsiTheme="majorEastAsia" w:eastAsiaTheme="majorEastAsia" w:cstheme="majorEastAsia"/>
          <w:sz w:val="24"/>
          <w:szCs w:val="24"/>
        </w:rPr>
        <w:t xml:space="preserve">2017年随州市统计机在全体干部职工的共同努力下圆满出色完成了各项工作目标和任务。</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3.1.5.4.1、社会效益：</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认真落实省局会议精神和市委市政府工作决策部署，使统计数据真实性、统计服务针对性、统计工作公信力得到进一步提升。</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3.1.5.4.2、经济效益</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核减虚报工业总产值56059万元，虚报固定资产投资完成额75899万元，核增漏报工业总产值6140.7万元。全市所有乡镇基本实现“八有八化”，92.7%的村实现了“五有五化”。全市统计诚信企业创建率达到了59.8%，超出省定50%的创建目标近10个百分点。全市农业普查入户登记全面完成，现正积极准备数据开发和成果运用等后续工作，全市共登记录入农户42.39万户、规模户4171户、农业经营单位1631家。</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3.1.5.4.3社会公众满意度</w:t>
      </w:r>
      <w:r>
        <w:rPr>
          <w:rFonts w:asciiTheme="majorEastAsia" w:hAnsiTheme="majorEastAsia" w:eastAsiaTheme="majorEastAsia" w:cstheme="majorEastAsia"/>
          <w:sz w:val="24"/>
          <w:szCs w:val="24"/>
        </w:rPr>
      </w:r>
    </w:p>
    <w:p>
      <w:pPr>
        <w:widowControl w:val="true"/>
        <w:pBdr/>
        <w:spacing w:line="360" w:lineRule="auto"/>
        <w:ind w:firstLine="64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我们认为，服务对象对项目实施效果非常满意。通过案件回访和实地实施的调查问卷统计分析，受访的行政相对人及举报投诉人对2017年所做工作的总体满意度、服务履职工作方面满意度等综合满意度95%。</w:t>
      </w:r>
      <w:r>
        <w:rPr>
          <w:rFonts w:asciiTheme="majorEastAsia" w:hAnsiTheme="majorEastAsia" w:eastAsiaTheme="majorEastAsia" w:cstheme="majorEastAsia"/>
          <w:sz w:val="24"/>
          <w:szCs w:val="24"/>
        </w:rPr>
      </w:r>
    </w:p>
    <w:p>
      <w:pPr>
        <w:pStyle w:val="667"/>
        <w:pBdr/>
        <w:spacing w:line="360" w:lineRule="auto"/>
        <w:ind/>
        <w:outlineLvl w:val="0"/>
        <w:rPr>
          <w:rFonts w:asciiTheme="majorEastAsia" w:hAnsiTheme="majorEastAsia" w:eastAsiaTheme="majorEastAsia" w:cstheme="majorEastAsia"/>
          <w:sz w:val="24"/>
          <w:szCs w:val="24"/>
        </w:rPr>
      </w:pPr>
      <w:r/>
      <w:bookmarkStart w:id="29" w:name="_Toc452659709"/>
      <w:r>
        <w:rPr>
          <w:rFonts w:hint="eastAsia" w:asciiTheme="majorEastAsia" w:hAnsiTheme="majorEastAsia" w:eastAsiaTheme="majorEastAsia" w:cstheme="majorEastAsia"/>
          <w:sz w:val="24"/>
          <w:szCs w:val="24"/>
        </w:rPr>
        <w:t xml:space="preserve">3.1.6  评价结论</w:t>
      </w:r>
      <w:bookmarkEnd w:id="29"/>
      <w:r/>
      <w:r>
        <w:rPr>
          <w:rFonts w:asciiTheme="majorEastAsia" w:hAnsiTheme="majorEastAsia" w:eastAsiaTheme="majorEastAsia" w:cstheme="majorEastAsia"/>
          <w:sz w:val="24"/>
          <w:szCs w:val="24"/>
        </w:rPr>
      </w:r>
    </w:p>
    <w:p>
      <w:pPr>
        <w:pBdr/>
        <w:spacing w:line="360" w:lineRule="auto"/>
        <w:ind w:firstLine="482"/>
        <w:rPr>
          <w:rFonts w:asciiTheme="majorEastAsia" w:hAnsiTheme="majorEastAsia" w:eastAsiaTheme="majorEastAsia" w:cstheme="majorEastAsia"/>
          <w:b/>
          <w:sz w:val="24"/>
          <w:szCs w:val="24"/>
        </w:rPr>
      </w:pPr>
      <w:r/>
      <w:bookmarkStart w:id="30" w:name="_Toc452655144"/>
      <w:r>
        <w:rPr>
          <w:rFonts w:hint="eastAsia" w:asciiTheme="majorEastAsia" w:hAnsiTheme="majorEastAsia" w:eastAsiaTheme="majorEastAsia" w:cstheme="majorEastAsia"/>
          <w:b/>
          <w:sz w:val="24"/>
          <w:szCs w:val="24"/>
        </w:rPr>
        <w:t xml:space="preserve">3.1.6.1  评分结果</w:t>
      </w:r>
      <w:bookmarkEnd w:id="30"/>
      <w:r/>
      <w:r>
        <w:rPr>
          <w:rFonts w:asciiTheme="majorEastAsia" w:hAnsiTheme="majorEastAsia" w:eastAsiaTheme="majorEastAsia" w:cstheme="majorEastAsia"/>
          <w:b/>
          <w:sz w:val="24"/>
          <w:szCs w:val="24"/>
        </w:rPr>
      </w:r>
    </w:p>
    <w:p>
      <w:pPr>
        <w:pBdr/>
        <w:spacing w:line="360" w:lineRule="auto"/>
        <w:ind w:firstLine="48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 xml:space="preserve">采取定性和定量相结合的方法。自评得分如下：</w:t>
      </w:r>
      <w:r>
        <w:rPr>
          <w:rFonts w:asciiTheme="majorEastAsia" w:hAnsiTheme="majorEastAsia" w:eastAsiaTheme="majorEastAsia" w:cstheme="majorEastAsia"/>
          <w:b/>
          <w:sz w:val="24"/>
          <w:szCs w:val="24"/>
        </w:rPr>
      </w:r>
    </w:p>
    <w:tbl>
      <w:tblPr>
        <w:tblStyle w:val="65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628"/>
        <w:gridCol w:w="1628"/>
        <w:gridCol w:w="1627"/>
        <w:gridCol w:w="1629"/>
        <w:gridCol w:w="2016"/>
      </w:tblGrid>
      <w:tr>
        <w:trPr>
          <w:jc w:val="center"/>
          <w:trHeight w:val="522"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 xml:space="preserve">评价指标</w:t>
            </w:r>
            <w:r>
              <w:rPr>
                <w:rFonts w:asciiTheme="majorEastAsia" w:hAnsiTheme="majorEastAsia" w:eastAsiaTheme="majorEastAsia" w:cstheme="majorEastAsia"/>
                <w:b/>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 xml:space="preserve">权重</w:t>
            </w:r>
            <w:r>
              <w:rPr>
                <w:rFonts w:asciiTheme="majorEastAsia" w:hAnsiTheme="majorEastAsia" w:eastAsiaTheme="majorEastAsia" w:cstheme="majorEastAsia"/>
                <w:b/>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 xml:space="preserve">评级分值</w:t>
            </w:r>
            <w:r>
              <w:rPr>
                <w:rFonts w:asciiTheme="majorEastAsia" w:hAnsiTheme="majorEastAsia" w:eastAsiaTheme="majorEastAsia" w:cstheme="majorEastAsia"/>
                <w:b/>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 xml:space="preserve">本项目得分</w:t>
            </w:r>
            <w:r>
              <w:rPr>
                <w:rFonts w:asciiTheme="majorEastAsia" w:hAnsiTheme="majorEastAsia" w:eastAsiaTheme="majorEastAsia" w:cstheme="majorEastAsia"/>
                <w:b/>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 xml:space="preserve">绩效评价</w:t>
            </w:r>
            <w:r>
              <w:rPr>
                <w:rFonts w:asciiTheme="majorEastAsia" w:hAnsiTheme="majorEastAsia" w:eastAsiaTheme="majorEastAsia" w:cstheme="majorEastAsia"/>
                <w:b/>
                <w:color w:val="000000"/>
                <w:sz w:val="24"/>
                <w:szCs w:val="24"/>
              </w:rPr>
            </w:r>
          </w:p>
        </w:tc>
      </w:tr>
      <w:tr>
        <w:trPr>
          <w:jc w:val="center"/>
          <w:trHeight w:val="492"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投入</w:t>
            </w:r>
            <w:r>
              <w:rPr>
                <w:rFonts w:asciiTheme="majorEastAsia" w:hAnsiTheme="majorEastAsia" w:eastAsiaTheme="majorEastAsia" w:cstheme="majorEastAsia"/>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5</w:t>
            </w:r>
            <w:r>
              <w:rPr>
                <w:rFonts w:asciiTheme="majorEastAsia" w:hAnsiTheme="majorEastAsia" w:eastAsiaTheme="majorEastAsia" w:cstheme="majorEastAsia"/>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合理可行</w:t>
            </w:r>
            <w:r>
              <w:rPr>
                <w:rFonts w:asciiTheme="majorEastAsia" w:hAnsiTheme="majorEastAsia" w:eastAsiaTheme="majorEastAsia" w:cstheme="majorEastAsia"/>
                <w:color w:val="000000"/>
                <w:sz w:val="24"/>
                <w:szCs w:val="24"/>
              </w:rPr>
            </w:r>
          </w:p>
        </w:tc>
      </w:tr>
      <w:tr>
        <w:trPr>
          <w:jc w:val="center"/>
          <w:trHeight w:val="462"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过程</w:t>
            </w:r>
            <w:r>
              <w:rPr>
                <w:rFonts w:asciiTheme="majorEastAsia" w:hAnsiTheme="majorEastAsia" w:eastAsiaTheme="majorEastAsia" w:cstheme="majorEastAsia"/>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30%</w:t>
            </w:r>
            <w:r>
              <w:rPr>
                <w:rFonts w:asciiTheme="majorEastAsia" w:hAnsiTheme="majorEastAsia" w:eastAsiaTheme="majorEastAsia" w:cstheme="majorEastAsia"/>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30</w:t>
            </w:r>
            <w:r>
              <w:rPr>
                <w:rFonts w:asciiTheme="majorEastAsia" w:hAnsiTheme="majorEastAsia" w:eastAsiaTheme="majorEastAsia" w:cstheme="majorEastAsia"/>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29</w:t>
            </w:r>
            <w:r>
              <w:rPr>
                <w:rFonts w:asciiTheme="majorEastAsia" w:hAnsiTheme="majorEastAsia" w:eastAsiaTheme="majorEastAsia" w:cstheme="majorEastAsia"/>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管理高效</w:t>
            </w:r>
            <w:r>
              <w:rPr>
                <w:rFonts w:asciiTheme="majorEastAsia" w:hAnsiTheme="majorEastAsia" w:eastAsiaTheme="majorEastAsia" w:cstheme="majorEastAsia"/>
                <w:color w:val="000000"/>
                <w:sz w:val="24"/>
                <w:szCs w:val="24"/>
              </w:rPr>
            </w:r>
          </w:p>
        </w:tc>
      </w:tr>
      <w:tr>
        <w:trPr>
          <w:jc w:val="center"/>
          <w:trHeight w:val="462"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产出</w:t>
            </w:r>
            <w:r>
              <w:rPr>
                <w:rFonts w:asciiTheme="majorEastAsia" w:hAnsiTheme="majorEastAsia" w:eastAsiaTheme="majorEastAsia" w:cstheme="majorEastAsia"/>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40%</w:t>
            </w:r>
            <w:r>
              <w:rPr>
                <w:rFonts w:asciiTheme="majorEastAsia" w:hAnsiTheme="majorEastAsia" w:eastAsiaTheme="majorEastAsia" w:cstheme="majorEastAsia"/>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40</w:t>
            </w:r>
            <w:r>
              <w:rPr>
                <w:rFonts w:asciiTheme="majorEastAsia" w:hAnsiTheme="majorEastAsia" w:eastAsiaTheme="majorEastAsia" w:cstheme="majorEastAsia"/>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40</w:t>
            </w:r>
            <w:r>
              <w:rPr>
                <w:rFonts w:asciiTheme="majorEastAsia" w:hAnsiTheme="majorEastAsia" w:eastAsiaTheme="majorEastAsia" w:cstheme="majorEastAsia"/>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履职高效</w:t>
            </w:r>
            <w:r>
              <w:rPr>
                <w:rFonts w:asciiTheme="majorEastAsia" w:hAnsiTheme="majorEastAsia" w:eastAsiaTheme="majorEastAsia" w:cstheme="majorEastAsia"/>
                <w:color w:val="000000"/>
                <w:sz w:val="24"/>
                <w:szCs w:val="24"/>
              </w:rPr>
            </w:r>
          </w:p>
        </w:tc>
      </w:tr>
      <w:tr>
        <w:trPr>
          <w:jc w:val="center"/>
          <w:trHeight w:val="442"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效益</w:t>
            </w:r>
            <w:r>
              <w:rPr>
                <w:rFonts w:asciiTheme="majorEastAsia" w:hAnsiTheme="majorEastAsia" w:eastAsiaTheme="majorEastAsia" w:cstheme="majorEastAsia"/>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15</w:t>
            </w:r>
            <w:r>
              <w:rPr>
                <w:rFonts w:asciiTheme="majorEastAsia" w:hAnsiTheme="majorEastAsia" w:eastAsiaTheme="majorEastAsia" w:cstheme="majorEastAsia"/>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效益满意</w:t>
            </w:r>
            <w:r>
              <w:rPr>
                <w:rFonts w:asciiTheme="majorEastAsia" w:hAnsiTheme="majorEastAsia" w:eastAsiaTheme="majorEastAsia" w:cstheme="majorEastAsia"/>
                <w:color w:val="000000"/>
                <w:sz w:val="24"/>
                <w:szCs w:val="24"/>
              </w:rPr>
            </w:r>
          </w:p>
        </w:tc>
      </w:tr>
      <w:tr>
        <w:trPr>
          <w:jc w:val="center"/>
          <w:trHeight w:val="557" w:hRule="exact"/>
        </w:trPr>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综合绩效</w:t>
            </w:r>
            <w:r>
              <w:rPr>
                <w:rFonts w:asciiTheme="majorEastAsia" w:hAnsiTheme="majorEastAsia" w:eastAsiaTheme="majorEastAsia" w:cstheme="majorEastAsia"/>
                <w:color w:val="000000"/>
                <w:sz w:val="24"/>
                <w:szCs w:val="24"/>
              </w:rPr>
            </w:r>
          </w:p>
        </w:tc>
        <w:tc>
          <w:tcPr>
            <w:tcBorders/>
            <w:tcW w:w="1628"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100%</w:t>
            </w:r>
            <w:r>
              <w:rPr>
                <w:rFonts w:asciiTheme="majorEastAsia" w:hAnsiTheme="majorEastAsia" w:eastAsiaTheme="majorEastAsia" w:cstheme="majorEastAsia"/>
                <w:color w:val="000000"/>
                <w:sz w:val="24"/>
                <w:szCs w:val="24"/>
              </w:rPr>
            </w:r>
          </w:p>
        </w:tc>
        <w:tc>
          <w:tcPr>
            <w:tcBorders/>
            <w:tcW w:w="1627"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100</w:t>
            </w:r>
            <w:r>
              <w:rPr>
                <w:rFonts w:asciiTheme="majorEastAsia" w:hAnsiTheme="majorEastAsia" w:eastAsiaTheme="majorEastAsia" w:cstheme="majorEastAsia"/>
                <w:color w:val="000000"/>
                <w:sz w:val="24"/>
                <w:szCs w:val="24"/>
              </w:rPr>
            </w:r>
          </w:p>
        </w:tc>
        <w:tc>
          <w:tcPr>
            <w:tcBorders/>
            <w:tcW w:w="1629"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89</w:t>
            </w:r>
            <w:r>
              <w:rPr>
                <w:rFonts w:asciiTheme="majorEastAsia" w:hAnsiTheme="majorEastAsia" w:eastAsiaTheme="majorEastAsia" w:cstheme="majorEastAsia"/>
                <w:color w:val="000000"/>
                <w:sz w:val="24"/>
                <w:szCs w:val="24"/>
              </w:rPr>
            </w:r>
          </w:p>
        </w:tc>
        <w:tc>
          <w:tcPr>
            <w:tcBorders/>
            <w:tcW w:w="2016" w:type="dxa"/>
            <w:vAlign w:val="center"/>
            <w:textDirection w:val="lrTb"/>
            <w:noWrap w:val="false"/>
          </w:tcPr>
          <w:p>
            <w:pPr>
              <w:widowControl w:val="true"/>
              <w:pBdr/>
              <w:spacing w:line="360" w:lineRule="auto"/>
              <w:ind/>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优秀</w:t>
            </w:r>
            <w:r>
              <w:rPr>
                <w:rFonts w:asciiTheme="majorEastAsia" w:hAnsiTheme="majorEastAsia" w:eastAsiaTheme="majorEastAsia" w:cstheme="majorEastAsia"/>
                <w:color w:val="000000"/>
                <w:sz w:val="24"/>
                <w:szCs w:val="24"/>
              </w:rPr>
            </w:r>
          </w:p>
        </w:tc>
      </w:tr>
    </w:tbl>
    <w:p>
      <w:pPr>
        <w:pBdr/>
        <w:spacing w:line="360" w:lineRule="auto"/>
        <w:ind w:firstLine="482"/>
        <w:rPr>
          <w:rFonts w:asciiTheme="majorEastAsia" w:hAnsiTheme="majorEastAsia" w:eastAsiaTheme="majorEastAsia" w:cstheme="majorEastAsia"/>
          <w:b/>
          <w:color w:val="ff0000"/>
          <w:sz w:val="24"/>
          <w:szCs w:val="24"/>
        </w:rPr>
      </w:pPr>
      <w:r/>
      <w:bookmarkStart w:id="31" w:name="_Toc452655145"/>
      <w:r>
        <w:rPr>
          <w:rFonts w:hint="eastAsia" w:asciiTheme="majorEastAsia" w:hAnsiTheme="majorEastAsia" w:eastAsiaTheme="majorEastAsia" w:cstheme="majorEastAsia"/>
          <w:b/>
          <w:color w:val="ff0000"/>
          <w:sz w:val="24"/>
          <w:szCs w:val="24"/>
        </w:rPr>
        <w:t xml:space="preserve">自评得分93分，评价结果级别：优</w:t>
      </w:r>
      <w:r>
        <w:rPr>
          <w:rFonts w:asciiTheme="majorEastAsia" w:hAnsiTheme="majorEastAsia" w:eastAsiaTheme="majorEastAsia" w:cstheme="majorEastAsia"/>
          <w:b/>
          <w:color w:val="ff0000"/>
          <w:sz w:val="24"/>
          <w:szCs w:val="24"/>
        </w:rPr>
      </w:r>
    </w:p>
    <w:p>
      <w:pPr>
        <w:pBdr/>
        <w:spacing w:line="360" w:lineRule="auto"/>
        <w:ind w:firstLine="482"/>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3.1.6.2  主要结论</w:t>
      </w:r>
      <w:bookmarkEnd w:id="31"/>
      <w:r/>
      <w:r>
        <w:rPr>
          <w:rFonts w:asciiTheme="majorEastAsia" w:hAnsiTheme="majorEastAsia" w:eastAsiaTheme="majorEastAsia" w:cstheme="majorEastAsia"/>
          <w:b/>
          <w:sz w:val="24"/>
          <w:szCs w:val="24"/>
        </w:rPr>
      </w:r>
    </w:p>
    <w:p>
      <w:pPr>
        <w:widowControl w:val="true"/>
        <w:pBdr/>
        <w:spacing w:line="360" w:lineRule="auto"/>
        <w:ind w:firstLine="48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本次随州市统计局部门整体支出绩效评价结果级别为“优”。评价结果类型为“A+”。项目与目前政策相符。项目立项规范、合理，资金到位及时、使用合规、监控有效，工作及财务管理制度健全、执行有效、项目质量可控，项目实际支出没有超预算，领导满意度高，达到了预定的目标。</w:t>
      </w:r>
      <w:bookmarkStart w:id="32" w:name="_Toc452659714"/>
      <w:r/>
      <w:bookmarkEnd w:id="28"/>
      <w:bookmarkEnd w:id="32"/>
      <w:r>
        <w:rPr>
          <w:rFonts w:asciiTheme="majorEastAsia" w:hAnsiTheme="majorEastAsia" w:eastAsiaTheme="majorEastAsia" w:cstheme="majorEastAsia"/>
          <w:sz w:val="24"/>
          <w:szCs w:val="24"/>
        </w:rPr>
      </w:r>
    </w:p>
    <w:p>
      <w:pPr>
        <w:pStyle w:val="667"/>
        <w:pBdr/>
        <w:spacing w:line="360" w:lineRule="auto"/>
        <w:ind/>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3.2  未完成指标的原因以及已完成指标且超出指标目标值30%以上的原因分析</w:t>
      </w:r>
      <w:r>
        <w:rPr>
          <w:rFonts w:asciiTheme="majorEastAsia" w:hAnsiTheme="majorEastAsia" w:eastAsiaTheme="majorEastAsia" w:cstheme="majorEastAsia"/>
          <w:sz w:val="24"/>
          <w:szCs w:val="24"/>
        </w:rPr>
      </w:r>
    </w:p>
    <w:p>
      <w:pPr>
        <w:pStyle w:val="667"/>
        <w:pBdr/>
        <w:spacing w:line="360" w:lineRule="auto"/>
        <w:ind/>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3.2.1 未完成指标及原因</w:t>
      </w:r>
      <w:r>
        <w:rPr>
          <w:rFonts w:asciiTheme="majorEastAsia" w:hAnsiTheme="majorEastAsia" w:eastAsiaTheme="majorEastAsia" w:cstheme="majorEastAsia"/>
          <w:sz w:val="24"/>
          <w:szCs w:val="24"/>
        </w:rPr>
      </w:r>
    </w:p>
    <w:p>
      <w:pPr>
        <w:pStyle w:val="667"/>
        <w:pBdr/>
        <w:spacing w:line="360" w:lineRule="auto"/>
        <w:ind w:firstLine="480"/>
        <w:outlineLvl w:val="0"/>
        <w:rPr>
          <w:rFonts w:asciiTheme="majorEastAsia" w:hAnsiTheme="majorEastAsia" w:eastAsiaTheme="majorEastAsia" w:cstheme="majorEastAsia"/>
          <w:b w:val="0"/>
          <w:bCs w:val="0"/>
          <w:color w:val="000000" w:themeColor="text1"/>
          <w:sz w:val="24"/>
          <w:szCs w:val="24"/>
        </w:rPr>
      </w:pPr>
      <w:r>
        <w:rPr>
          <w:rFonts w:hint="eastAsia" w:asciiTheme="majorEastAsia" w:hAnsiTheme="majorEastAsia" w:eastAsiaTheme="majorEastAsia" w:cstheme="majorEastAsia"/>
          <w:b w:val="0"/>
          <w:bCs w:val="0"/>
          <w:color w:val="000000" w:themeColor="text1"/>
          <w:sz w:val="24"/>
          <w:szCs w:val="24"/>
        </w:rPr>
        <w:t xml:space="preserve">3.2.1.1“三公经费”变动率为83%，主要是做预算时考虑到公务用车维护费和购置费比2016年预算减少了33万元，因公出国（境）增加3.1万元。</w:t>
      </w:r>
      <w:r>
        <w:rPr>
          <w:rFonts w:asciiTheme="majorEastAsia" w:hAnsiTheme="majorEastAsia" w:eastAsiaTheme="majorEastAsia" w:cstheme="majorEastAsia"/>
          <w:b w:val="0"/>
          <w:bCs w:val="0"/>
          <w:color w:val="000000" w:themeColor="text1"/>
          <w:sz w:val="24"/>
          <w:szCs w:val="24"/>
        </w:rPr>
      </w:r>
    </w:p>
    <w:p>
      <w:pPr>
        <w:pStyle w:val="667"/>
        <w:pBdr/>
        <w:spacing w:line="360" w:lineRule="auto"/>
        <w:ind/>
        <w:outlineLvl w:val="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 xml:space="preserve">3.2.2  已完成指标且超出指标目标值30%以上的原因</w:t>
      </w:r>
      <w:r>
        <w:rPr>
          <w:rFonts w:asciiTheme="majorEastAsia" w:hAnsiTheme="majorEastAsia" w:eastAsiaTheme="majorEastAsia" w:cstheme="majorEastAsia"/>
          <w:color w:val="000000" w:themeColor="text1"/>
          <w:sz w:val="24"/>
          <w:szCs w:val="24"/>
        </w:rPr>
      </w:r>
    </w:p>
    <w:p>
      <w:pPr>
        <w:pStyle w:val="667"/>
        <w:pBdr/>
        <w:spacing w:line="360" w:lineRule="auto"/>
        <w:ind w:firstLine="480"/>
        <w:outlineLvl w:val="0"/>
        <w:rPr>
          <w:rFonts w:asciiTheme="majorEastAsia" w:hAnsiTheme="majorEastAsia" w:eastAsiaTheme="majorEastAsia" w:cstheme="majorEastAsia"/>
          <w:b w:val="0"/>
          <w:color w:val="000000" w:themeColor="text1"/>
          <w:sz w:val="24"/>
          <w:szCs w:val="24"/>
        </w:rPr>
      </w:pPr>
      <w:r>
        <w:rPr>
          <w:rFonts w:hint="eastAsia" w:asciiTheme="majorEastAsia" w:hAnsiTheme="majorEastAsia" w:eastAsiaTheme="majorEastAsia" w:cstheme="majorEastAsia"/>
          <w:b w:val="0"/>
          <w:color w:val="000000" w:themeColor="text1"/>
          <w:sz w:val="24"/>
          <w:szCs w:val="24"/>
        </w:rPr>
        <w:t xml:space="preserve">3.2.2.1重点支出安排率29%，主要是小项目多，造成重点支出占比不大。</w:t>
      </w:r>
      <w:r>
        <w:rPr>
          <w:rFonts w:asciiTheme="majorEastAsia" w:hAnsiTheme="majorEastAsia" w:eastAsiaTheme="majorEastAsia" w:cstheme="majorEastAsia"/>
          <w:b w:val="0"/>
          <w:color w:val="000000" w:themeColor="text1"/>
          <w:sz w:val="24"/>
          <w:szCs w:val="24"/>
        </w:rPr>
      </w:r>
    </w:p>
    <w:p>
      <w:pPr>
        <w:pStyle w:val="667"/>
        <w:pBdr/>
        <w:spacing w:line="360" w:lineRule="auto"/>
        <w:ind w:firstLine="480"/>
        <w:outlineLvl w:val="0"/>
        <w:rPr>
          <w:rFonts w:asciiTheme="majorEastAsia" w:hAnsiTheme="majorEastAsia" w:eastAsiaTheme="majorEastAsia" w:cstheme="majorEastAsia"/>
          <w:b w:val="0"/>
          <w:color w:val="000000" w:themeColor="text1"/>
          <w:sz w:val="24"/>
          <w:szCs w:val="24"/>
        </w:rPr>
      </w:pPr>
      <w:r>
        <w:rPr>
          <w:rFonts w:hint="eastAsia" w:asciiTheme="majorEastAsia" w:hAnsiTheme="majorEastAsia" w:eastAsiaTheme="majorEastAsia" w:cstheme="majorEastAsia"/>
          <w:b w:val="0"/>
          <w:color w:val="000000" w:themeColor="text1"/>
          <w:sz w:val="24"/>
          <w:szCs w:val="24"/>
        </w:rPr>
        <w:t xml:space="preserve">3.2.2.2公用经费控制率23%，主要是厉行节约，控制支出。</w:t>
      </w:r>
      <w:r>
        <w:rPr>
          <w:rFonts w:asciiTheme="majorEastAsia" w:hAnsiTheme="majorEastAsia" w:eastAsiaTheme="majorEastAsia" w:cstheme="majorEastAsia"/>
          <w:b w:val="0"/>
          <w:color w:val="000000" w:themeColor="text1"/>
          <w:sz w:val="24"/>
          <w:szCs w:val="24"/>
        </w:rPr>
      </w:r>
    </w:p>
    <w:p>
      <w:pPr>
        <w:pStyle w:val="667"/>
        <w:pBdr/>
        <w:spacing w:line="360" w:lineRule="auto"/>
        <w:ind w:firstLine="480"/>
        <w:outlineLvl w:val="0"/>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b w:val="0"/>
          <w:color w:val="000000" w:themeColor="text1"/>
          <w:sz w:val="24"/>
          <w:szCs w:val="24"/>
        </w:rPr>
        <w:t xml:space="preserve">3.2.2.3“三公经费”控制率60%，主要是公务用车维护费降低和没有发生因公出国（境）费用。</w:t>
      </w:r>
      <w:r>
        <w:rPr>
          <w:rFonts w:asciiTheme="majorEastAsia" w:hAnsiTheme="majorEastAsia" w:eastAsiaTheme="majorEastAsia" w:cstheme="majorEastAsia"/>
          <w:color w:val="000000" w:themeColor="text1"/>
          <w:sz w:val="24"/>
          <w:szCs w:val="24"/>
        </w:rPr>
      </w:r>
    </w:p>
    <w:p>
      <w:pPr>
        <w:pStyle w:val="667"/>
        <w:pBdr/>
        <w:spacing w:line="360" w:lineRule="auto"/>
        <w:ind/>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3.3  绩效指标数据来源及获取方式</w:t>
      </w:r>
      <w:r>
        <w:rPr>
          <w:rFonts w:asciiTheme="majorEastAsia" w:hAnsiTheme="majorEastAsia" w:eastAsiaTheme="majorEastAsia" w:cstheme="majorEastAsia"/>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3.3.1  2016年度、2017年度部门预决算汇总报表；</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3.3.2  单位财务部门提供的各部门预决算报表和财务数据；</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3.3.3  2017年度单位业务台账、记录和年度总结报告；</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3.3.4  单位制定的各项管理制度；</w:t>
      </w:r>
      <w:r>
        <w:rPr>
          <w:rFonts w:asciiTheme="majorEastAsia" w:hAnsiTheme="majorEastAsia" w:eastAsiaTheme="majorEastAsia" w:cstheme="majorEastAsia"/>
          <w:b w:val="0"/>
          <w:bCs w:val="0"/>
          <w:sz w:val="24"/>
          <w:szCs w:val="24"/>
        </w:rPr>
      </w:r>
    </w:p>
    <w:p>
      <w:pPr>
        <w:pStyle w:val="667"/>
        <w:pBdr/>
        <w:spacing w:line="360" w:lineRule="auto"/>
        <w:ind w:firstLine="480"/>
        <w:outlineLvl w:val="0"/>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3.3.5  单位上报的部门绩效报告。</w:t>
      </w:r>
      <w:r>
        <w:rPr>
          <w:rFonts w:asciiTheme="majorEastAsia" w:hAnsiTheme="majorEastAsia" w:eastAsiaTheme="majorEastAsia" w:cstheme="majorEastAsia"/>
          <w:b w:val="0"/>
          <w:bCs w:val="0"/>
          <w:sz w:val="24"/>
          <w:szCs w:val="24"/>
        </w:rPr>
      </w:r>
    </w:p>
    <w:p>
      <w:pPr>
        <w:pBdr/>
        <w:spacing w:line="360" w:lineRule="auto"/>
        <w:ind/>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四、下一步工作安排</w:t>
      </w:r>
      <w:r>
        <w:rPr>
          <w:rFonts w:asciiTheme="majorEastAsia" w:hAnsiTheme="majorEastAsia" w:eastAsiaTheme="majorEastAsia" w:cstheme="majorEastAsia"/>
          <w:b/>
          <w:bCs/>
          <w:sz w:val="24"/>
          <w:szCs w:val="24"/>
        </w:rPr>
      </w:r>
    </w:p>
    <w:p>
      <w:pPr>
        <w:pBdr/>
        <w:spacing w:line="360" w:lineRule="auto"/>
        <w:ind/>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    4.1  改进下一步工作的措施</w:t>
      </w:r>
      <w:r>
        <w:rPr>
          <w:rFonts w:asciiTheme="majorEastAsia" w:hAnsiTheme="majorEastAsia" w:eastAsiaTheme="majorEastAsia" w:cstheme="majorEastAsia"/>
          <w:b/>
          <w:bCs/>
          <w:sz w:val="24"/>
          <w:szCs w:val="24"/>
        </w:rPr>
      </w:r>
    </w:p>
    <w:p>
      <w:pPr>
        <w:pBdr/>
        <w:spacing w:line="360" w:lineRule="auto"/>
        <w:ind/>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sz w:val="24"/>
          <w:szCs w:val="24"/>
        </w:rPr>
        <w:t xml:space="preserve">针对2017年度部门绩效评价情况，我们认为绩效自评结果真实、合理、客观，随州市统计局将继续围绕市委市政府中心工作，贯彻落实中办《深化统计管理体制改革提高统计数据真实性》和省办《实施意见》作为重点工作，持续推进，扎实推进统计管理体制改革的各项任务落实到位。及早谋划我市第四次经济普查工作，持续加大统计普法力度，深入宣传贯彻《中华人民共和国统计法实施条例》，进一步拓宽统计普法渠道；加大统计执法检查力度，严格统计核查和统计执法检查，严肃查处各类统计违法案件。</w:t>
      </w:r>
      <w:r>
        <w:rPr>
          <w:rFonts w:asciiTheme="majorEastAsia" w:hAnsiTheme="majorEastAsia" w:eastAsiaTheme="majorEastAsia" w:cstheme="majorEastAsia"/>
          <w:sz w:val="24"/>
          <w:szCs w:val="24"/>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4.2 分析绩效指标是否存在简单易达的问题，对以后年度绩效目标和指标体系提出改进建议</w:t>
      </w:r>
      <w:r>
        <w:rPr>
          <w:rFonts w:asciiTheme="majorEastAsia" w:hAnsiTheme="majorEastAsia" w:eastAsiaTheme="majorEastAsia" w:cstheme="majorEastAsia"/>
          <w:b/>
          <w:bCs/>
          <w:sz w:val="24"/>
          <w:szCs w:val="24"/>
        </w:rPr>
      </w:r>
    </w:p>
    <w:p>
      <w:pPr>
        <w:pBdr/>
        <w:spacing w:line="360" w:lineRule="auto"/>
        <w:ind w:firstLine="480"/>
        <w:rPr>
          <w:rFonts w:ascii="Times New Roman" w:hAnsi="Times New Roman"/>
          <w:szCs w:val="32"/>
        </w:rPr>
      </w:pPr>
      <w:r>
        <w:rPr>
          <w:rFonts w:hint="eastAsia" w:asciiTheme="majorEastAsia" w:hAnsiTheme="majorEastAsia" w:eastAsiaTheme="majorEastAsia" w:cstheme="majorEastAsia"/>
          <w:sz w:val="24"/>
          <w:szCs w:val="24"/>
        </w:rPr>
        <w:t xml:space="preserve">此次绩效评价在指标体系设计上共分为三个维度。其中，一级指标4个，分别为投入、过程、产出、效益；二级指标6个，分别为目标设定、预算配置、预算执行、预算管理、资产管理、职责履行、履职效益；三级指标21个。从结构框架和实际绩效评价小组意见，我们认为每项指标均经过合理论证，不存在简单易达的问题。以后根据部门实际情况，适时调整评价指标，建立更加合理有效的评价指标体系。</w:t>
      </w:r>
      <w:r>
        <w:rPr>
          <w:rFonts w:ascii="Times New Roman" w:hAnsi="Times New Roman"/>
          <w:szCs w:val="32"/>
        </w:rPr>
      </w:r>
    </w:p>
    <w:p>
      <w:pPr>
        <w:pBd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附：2018年市直部门整体支出绩效自评表</w:t>
      </w:r>
      <w:r>
        <w:rPr>
          <w:rFonts w:asciiTheme="majorEastAsia" w:hAnsiTheme="majorEastAsia" w:eastAsiaTheme="majorEastAsia" w:cstheme="majorEastAsia"/>
          <w:b/>
          <w:bCs/>
          <w:sz w:val="24"/>
          <w:szCs w:val="24"/>
        </w:rPr>
      </w:r>
    </w:p>
    <w:p>
      <w:pPr>
        <w:pBdr/>
        <w:spacing w:line="360" w:lineRule="auto"/>
        <w:ind w:firstLine="480"/>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r>
      <w:r>
        <w:rPr>
          <w:rFonts w:asciiTheme="majorEastAsia" w:hAnsiTheme="majorEastAsia" w:eastAsiaTheme="majorEastAsia" w:cstheme="majorEastAsia"/>
          <w:sz w:val="24"/>
          <w:szCs w:val="24"/>
        </w:rPr>
      </w:r>
    </w:p>
    <w:sectPr>
      <w:footerReference w:type="default" r:id="rId9"/>
      <w:footnotePr/>
      <w:endnotePr/>
      <w:type w:val="nextPage"/>
      <w:pgSz w:h="16838" w:orient="landscape" w:w="11906"/>
      <w:pgMar w:top="1418" w:right="1418" w:bottom="1134" w:left="1418"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宋体">
    <w:panose1 w:val="02010600030101010101"/>
  </w:font>
  <w:font w:name="仿宋_GB2312">
    <w:panose1 w:val="02010609060101010101"/>
  </w:font>
  <w:font w:name="Courier New">
    <w:panose1 w:val="02070309020205020404"/>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61"/>
                            <w:pBdr/>
                            <w:spacing/>
                            <w:ind/>
                            <w:rPr/>
                          </w:pPr>
                          <w:r>
                            <w:rPr>
                              <w:rFonts w:hint="eastAsia"/>
                            </w:rPr>
                            <w:fldChar w:fldCharType="begin"/>
                          </w:r>
                          <w:r>
                            <w:rPr>
                              <w:rFonts w:hint="eastAsia"/>
                            </w:rPr>
                            <w:instrText xml:space="preserve"> PAGE  \* MERGEFORMAT </w:instrText>
                          </w:r>
                          <w:r>
                            <w:rPr>
                              <w:rFonts w:hint="eastAsia"/>
                            </w:rPr>
                            <w:fldChar w:fldCharType="separate"/>
                          </w:r>
                          <w:r>
                            <w:t xml:space="preserve">3</w:t>
                          </w:r>
                          <w:r>
                            <w:rPr>
                              <w:rFonts w:hint="eastAsia"/>
                            </w:rPr>
                            <w:fldChar w:fldCharType="end"/>
                          </w:r>
                          <w:r/>
                        </w:p>
                      </w:txbxContent>
                    </wps:txbx>
                    <wps:bodyPr wrap="none" lIns="0" tIns="0" rIns="0" bIns="0" upright="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61"/>
                      <w:pBdr/>
                      <w:spacing/>
                      <w:ind/>
                      <w:rPr/>
                    </w:pPr>
                    <w:r>
                      <w:rPr>
                        <w:rFonts w:hint="eastAsia"/>
                      </w:rPr>
                      <w:fldChar w:fldCharType="begin"/>
                    </w:r>
                    <w:r>
                      <w:rPr>
                        <w:rFonts w:hint="eastAsia"/>
                      </w:rPr>
                      <w:instrText xml:space="preserve"> PAGE  \* MERGEFORMAT </w:instrText>
                    </w:r>
                    <w:r>
                      <w:rPr>
                        <w:rFonts w:hint="eastAsia"/>
                      </w:rPr>
                      <w:fldChar w:fldCharType="separate"/>
                    </w:r>
                    <w:r>
                      <w:t xml:space="preserve">3</w:t>
                    </w:r>
                    <w:r>
                      <w:rPr>
                        <w:rFonts w:hint="eastAsia"/>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8"/>
    <w:link w:val="655"/>
    <w:uiPriority w:val="9"/>
    <w:pPr>
      <w:pBdr/>
      <w:spacing/>
      <w:ind/>
    </w:pPr>
    <w:rPr>
      <w:rFonts w:ascii="等线" w:hAnsi="等线" w:eastAsia="等线" w:cs="等线"/>
      <w:sz w:val="40"/>
      <w:szCs w:val="40"/>
    </w:rPr>
  </w:style>
  <w:style w:type="character" w:styleId="16">
    <w:name w:val="Heading 2 Char"/>
    <w:basedOn w:val="658"/>
    <w:link w:val="656"/>
    <w:uiPriority w:val="9"/>
    <w:pPr>
      <w:pBdr/>
      <w:spacing/>
      <w:ind/>
    </w:pPr>
    <w:rPr>
      <w:rFonts w:ascii="等线" w:hAnsi="等线" w:eastAsia="等线" w:cs="等线"/>
      <w:sz w:val="34"/>
    </w:rPr>
  </w:style>
  <w:style w:type="character" w:styleId="18">
    <w:name w:val="Heading 3 Char"/>
    <w:basedOn w:val="658"/>
    <w:link w:val="657"/>
    <w:uiPriority w:val="9"/>
    <w:pPr>
      <w:pBdr/>
      <w:spacing/>
      <w:ind/>
    </w:pPr>
    <w:rPr>
      <w:rFonts w:ascii="等线" w:hAnsi="等线" w:eastAsia="等线" w:cs="等线"/>
      <w:sz w:val="30"/>
      <w:szCs w:val="30"/>
    </w:rPr>
  </w:style>
  <w:style w:type="paragraph" w:styleId="19">
    <w:name w:val="Heading 4"/>
    <w:basedOn w:val="654"/>
    <w:next w:val="65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8"/>
    <w:link w:val="19"/>
    <w:uiPriority w:val="9"/>
    <w:pPr>
      <w:pBdr/>
      <w:spacing/>
      <w:ind/>
    </w:pPr>
    <w:rPr>
      <w:rFonts w:ascii="等线" w:hAnsi="等线" w:eastAsia="等线" w:cs="等线"/>
      <w:b/>
      <w:bCs/>
      <w:sz w:val="26"/>
      <w:szCs w:val="26"/>
    </w:rPr>
  </w:style>
  <w:style w:type="paragraph" w:styleId="21">
    <w:name w:val="Heading 5"/>
    <w:basedOn w:val="654"/>
    <w:next w:val="65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8"/>
    <w:link w:val="21"/>
    <w:uiPriority w:val="9"/>
    <w:pPr>
      <w:pBdr/>
      <w:spacing/>
      <w:ind/>
    </w:pPr>
    <w:rPr>
      <w:rFonts w:ascii="等线" w:hAnsi="等线" w:eastAsia="等线" w:cs="等线"/>
      <w:b/>
      <w:bCs/>
      <w:sz w:val="24"/>
      <w:szCs w:val="24"/>
    </w:rPr>
  </w:style>
  <w:style w:type="paragraph" w:styleId="23">
    <w:name w:val="Heading 6"/>
    <w:basedOn w:val="654"/>
    <w:next w:val="65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8"/>
    <w:link w:val="23"/>
    <w:uiPriority w:val="9"/>
    <w:pPr>
      <w:pBdr/>
      <w:spacing/>
      <w:ind/>
    </w:pPr>
    <w:rPr>
      <w:rFonts w:ascii="等线" w:hAnsi="等线" w:eastAsia="等线" w:cs="等线"/>
      <w:b/>
      <w:bCs/>
      <w:sz w:val="22"/>
      <w:szCs w:val="22"/>
    </w:rPr>
  </w:style>
  <w:style w:type="paragraph" w:styleId="25">
    <w:name w:val="Heading 7"/>
    <w:basedOn w:val="654"/>
    <w:next w:val="65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8"/>
    <w:link w:val="25"/>
    <w:uiPriority w:val="9"/>
    <w:pPr>
      <w:pBdr/>
      <w:spacing/>
      <w:ind/>
    </w:pPr>
    <w:rPr>
      <w:rFonts w:ascii="等线" w:hAnsi="等线" w:eastAsia="等线" w:cs="等线"/>
      <w:b/>
      <w:bCs/>
      <w:i/>
      <w:iCs/>
      <w:sz w:val="22"/>
      <w:szCs w:val="22"/>
    </w:rPr>
  </w:style>
  <w:style w:type="paragraph" w:styleId="27">
    <w:name w:val="Heading 8"/>
    <w:basedOn w:val="654"/>
    <w:next w:val="65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8"/>
    <w:link w:val="27"/>
    <w:uiPriority w:val="9"/>
    <w:pPr>
      <w:pBdr/>
      <w:spacing/>
      <w:ind/>
    </w:pPr>
    <w:rPr>
      <w:rFonts w:ascii="等线" w:hAnsi="等线" w:eastAsia="等线" w:cs="等线"/>
      <w:i/>
      <w:iCs/>
      <w:sz w:val="22"/>
      <w:szCs w:val="22"/>
    </w:rPr>
  </w:style>
  <w:style w:type="paragraph" w:styleId="29">
    <w:name w:val="Heading 9"/>
    <w:basedOn w:val="654"/>
    <w:next w:val="65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8"/>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54"/>
    <w:next w:val="654"/>
    <w:link w:val="35"/>
    <w:uiPriority w:val="10"/>
    <w:qFormat/>
    <w:pPr>
      <w:pBdr/>
      <w:spacing w:after="200" w:before="300"/>
      <w:ind/>
      <w:contextualSpacing w:val="true"/>
    </w:pPr>
    <w:rPr>
      <w:sz w:val="48"/>
      <w:szCs w:val="48"/>
    </w:rPr>
  </w:style>
  <w:style w:type="character" w:styleId="35">
    <w:name w:val="Title Char"/>
    <w:basedOn w:val="658"/>
    <w:link w:val="34"/>
    <w:uiPriority w:val="10"/>
    <w:pPr>
      <w:pBdr/>
      <w:spacing/>
      <w:ind/>
    </w:pPr>
    <w:rPr>
      <w:sz w:val="48"/>
      <w:szCs w:val="48"/>
    </w:rPr>
  </w:style>
  <w:style w:type="paragraph" w:styleId="36">
    <w:name w:val="Subtitle"/>
    <w:basedOn w:val="654"/>
    <w:next w:val="654"/>
    <w:link w:val="37"/>
    <w:uiPriority w:val="11"/>
    <w:qFormat/>
    <w:pPr>
      <w:pBdr/>
      <w:spacing w:after="200" w:before="200"/>
      <w:ind/>
    </w:pPr>
    <w:rPr>
      <w:sz w:val="24"/>
      <w:szCs w:val="24"/>
    </w:rPr>
  </w:style>
  <w:style w:type="character" w:styleId="37">
    <w:name w:val="Subtitle Char"/>
    <w:basedOn w:val="658"/>
    <w:link w:val="36"/>
    <w:uiPriority w:val="11"/>
    <w:pPr>
      <w:pBdr/>
      <w:spacing/>
      <w:ind/>
    </w:pPr>
    <w:rPr>
      <w:sz w:val="24"/>
      <w:szCs w:val="24"/>
    </w:rPr>
  </w:style>
  <w:style w:type="paragraph" w:styleId="38">
    <w:name w:val="Quote"/>
    <w:basedOn w:val="654"/>
    <w:next w:val="65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4"/>
    <w:next w:val="65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8"/>
    <w:link w:val="662"/>
    <w:uiPriority w:val="99"/>
    <w:pPr>
      <w:pBdr/>
      <w:spacing/>
      <w:ind/>
    </w:pPr>
  </w:style>
  <w:style w:type="character" w:styleId="45">
    <w:name w:val="Footer Char"/>
    <w:basedOn w:val="658"/>
    <w:link w:val="661"/>
    <w:uiPriority w:val="99"/>
    <w:pPr>
      <w:pBdr/>
      <w:spacing/>
      <w:ind/>
    </w:pPr>
  </w:style>
  <w:style w:type="paragraph" w:styleId="46">
    <w:name w:val="Caption"/>
    <w:basedOn w:val="654"/>
    <w:next w:val="65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1"/>
    <w:uiPriority w:val="99"/>
    <w:pPr>
      <w:pBdr/>
      <w:spacing/>
      <w:ind/>
    </w:pPr>
  </w:style>
  <w:style w:type="table" w:styleId="49">
    <w:name w:val="Table Grid Light"/>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8"/>
    <w:uiPriority w:val="99"/>
    <w:unhideWhenUsed/>
    <w:pPr>
      <w:pBdr/>
      <w:spacing/>
      <w:ind/>
    </w:pPr>
    <w:rPr>
      <w:vertAlign w:val="superscript"/>
    </w:rPr>
  </w:style>
  <w:style w:type="paragraph" w:styleId="178">
    <w:name w:val="endnote text"/>
    <w:basedOn w:val="65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8"/>
    <w:uiPriority w:val="99"/>
    <w:semiHidden/>
    <w:unhideWhenUsed/>
    <w:pPr>
      <w:pBdr/>
      <w:spacing/>
      <w:ind/>
    </w:pPr>
    <w:rPr>
      <w:vertAlign w:val="superscript"/>
    </w:rPr>
  </w:style>
  <w:style w:type="paragraph" w:styleId="181">
    <w:name w:val="toc 1"/>
    <w:basedOn w:val="654"/>
    <w:next w:val="654"/>
    <w:uiPriority w:val="39"/>
    <w:unhideWhenUsed/>
    <w:pPr>
      <w:pBdr/>
      <w:spacing w:after="57"/>
      <w:ind w:right="0" w:firstLine="0" w:left="0"/>
    </w:pPr>
  </w:style>
  <w:style w:type="paragraph" w:styleId="182">
    <w:name w:val="toc 2"/>
    <w:basedOn w:val="654"/>
    <w:next w:val="654"/>
    <w:uiPriority w:val="39"/>
    <w:unhideWhenUsed/>
    <w:pPr>
      <w:pBdr/>
      <w:spacing w:after="57"/>
      <w:ind w:right="0" w:firstLine="0" w:left="283"/>
    </w:pPr>
  </w:style>
  <w:style w:type="paragraph" w:styleId="183">
    <w:name w:val="toc 3"/>
    <w:basedOn w:val="654"/>
    <w:next w:val="654"/>
    <w:uiPriority w:val="39"/>
    <w:unhideWhenUsed/>
    <w:pPr>
      <w:pBdr/>
      <w:spacing w:after="57"/>
      <w:ind w:right="0" w:firstLine="0" w:left="567"/>
    </w:pPr>
  </w:style>
  <w:style w:type="paragraph" w:styleId="184">
    <w:name w:val="toc 4"/>
    <w:basedOn w:val="654"/>
    <w:next w:val="654"/>
    <w:uiPriority w:val="39"/>
    <w:unhideWhenUsed/>
    <w:pPr>
      <w:pBdr/>
      <w:spacing w:after="57"/>
      <w:ind w:right="0" w:firstLine="0" w:left="850"/>
    </w:pPr>
  </w:style>
  <w:style w:type="paragraph" w:styleId="185">
    <w:name w:val="toc 5"/>
    <w:basedOn w:val="654"/>
    <w:next w:val="654"/>
    <w:uiPriority w:val="39"/>
    <w:unhideWhenUsed/>
    <w:pPr>
      <w:pBdr/>
      <w:spacing w:after="57"/>
      <w:ind w:right="0" w:firstLine="0" w:left="1134"/>
    </w:pPr>
  </w:style>
  <w:style w:type="paragraph" w:styleId="186">
    <w:name w:val="toc 6"/>
    <w:basedOn w:val="654"/>
    <w:next w:val="654"/>
    <w:uiPriority w:val="39"/>
    <w:unhideWhenUsed/>
    <w:pPr>
      <w:pBdr/>
      <w:spacing w:after="57"/>
      <w:ind w:right="0" w:firstLine="0" w:left="1417"/>
    </w:pPr>
  </w:style>
  <w:style w:type="paragraph" w:styleId="187">
    <w:name w:val="toc 7"/>
    <w:basedOn w:val="654"/>
    <w:next w:val="654"/>
    <w:uiPriority w:val="39"/>
    <w:unhideWhenUsed/>
    <w:pPr>
      <w:pBdr/>
      <w:spacing w:after="57"/>
      <w:ind w:right="0" w:firstLine="0" w:left="1701"/>
    </w:pPr>
  </w:style>
  <w:style w:type="paragraph" w:styleId="188">
    <w:name w:val="toc 8"/>
    <w:basedOn w:val="654"/>
    <w:next w:val="654"/>
    <w:uiPriority w:val="39"/>
    <w:unhideWhenUsed/>
    <w:pPr>
      <w:pBdr/>
      <w:spacing w:after="57"/>
      <w:ind w:right="0" w:firstLine="0" w:left="1984"/>
    </w:pPr>
  </w:style>
  <w:style w:type="paragraph" w:styleId="189">
    <w:name w:val="toc 9"/>
    <w:basedOn w:val="654"/>
    <w:next w:val="65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4"/>
    <w:next w:val="654"/>
    <w:uiPriority w:val="99"/>
    <w:unhideWhenUsed/>
    <w:pPr>
      <w:pBdr/>
      <w:spacing w:after="0" w:afterAutospacing="0"/>
      <w:ind/>
    </w:pPr>
  </w:style>
  <w:style w:type="paragraph" w:styleId="654" w:default="1">
    <w:name w:val="Normal"/>
    <w:uiPriority w:val="0"/>
    <w:qFormat/>
    <w:pPr>
      <w:widowControl w:val="false"/>
      <w:pBdr/>
      <w:spacing/>
      <w:ind/>
      <w:jc w:val="both"/>
    </w:pPr>
    <w:rPr>
      <w:rFonts w:ascii="Calibri" w:hAnsi="Calibri" w:eastAsia="仿宋_GB2312" w:cs="Times New Roman"/>
      <w:sz w:val="32"/>
      <w:szCs w:val="22"/>
      <w:lang w:val="en-US" w:eastAsia="zh-CN" w:bidi="ar-SA"/>
    </w:rPr>
  </w:style>
  <w:style w:type="paragraph" w:styleId="655">
    <w:name w:val="Heading 1"/>
    <w:basedOn w:val="654"/>
    <w:next w:val="654"/>
    <w:uiPriority w:val="0"/>
    <w:qFormat/>
    <w:pPr>
      <w:keepNext w:val="true"/>
      <w:keepLines w:val="true"/>
      <w:pBdr/>
      <w:spacing w:after="330" w:before="340" w:line="578" w:lineRule="auto"/>
      <w:ind/>
      <w:outlineLvl w:val="0"/>
    </w:pPr>
    <w:rPr>
      <w:b/>
      <w:bCs/>
      <w:sz w:val="44"/>
      <w:szCs w:val="44"/>
    </w:rPr>
  </w:style>
  <w:style w:type="paragraph" w:styleId="656">
    <w:name w:val="Heading 2"/>
    <w:basedOn w:val="654"/>
    <w:next w:val="654"/>
    <w:uiPriority w:val="0"/>
    <w:qFormat/>
    <w:pPr>
      <w:widowControl w:val="true"/>
      <w:pBdr/>
      <w:spacing w:line="560" w:lineRule="exact"/>
      <w:ind w:firstLine="200"/>
      <w:outlineLvl w:val="1"/>
    </w:pPr>
    <w:rPr>
      <w:rFonts w:ascii="仿宋_GB2312" w:hAnsi="宋体" w:cs="宋体"/>
      <w:b/>
      <w:bCs/>
      <w:sz w:val="24"/>
    </w:rPr>
  </w:style>
  <w:style w:type="paragraph" w:styleId="657">
    <w:name w:val="Heading 3"/>
    <w:basedOn w:val="654"/>
    <w:next w:val="654"/>
    <w:uiPriority w:val="0"/>
    <w:qFormat/>
    <w:pPr>
      <w:pBdr/>
      <w:spacing w:line="560" w:lineRule="exact"/>
      <w:ind w:firstLine="200"/>
      <w:outlineLvl w:val="2"/>
    </w:pPr>
    <w:rPr>
      <w:rFonts w:ascii="仿宋_GB2312"/>
      <w:b/>
      <w:bCs/>
      <w:sz w:val="28"/>
      <w:szCs w:val="32"/>
    </w:rPr>
  </w:style>
  <w:style w:type="character" w:styleId="658" w:default="1">
    <w:name w:val="Default Paragraph Font"/>
    <w:uiPriority w:val="1"/>
    <w:semiHidden/>
    <w:unhideWhenUsed/>
    <w:pPr>
      <w:pBdr/>
      <w:spacing/>
      <w:ind/>
    </w:pPr>
  </w:style>
  <w:style w:type="table" w:styleId="659"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0">
    <w:name w:val="Balloon Text"/>
    <w:basedOn w:val="654"/>
    <w:link w:val="666"/>
    <w:uiPriority w:val="99"/>
    <w:semiHidden/>
    <w:qFormat/>
    <w:pPr>
      <w:pBdr/>
      <w:spacing/>
      <w:ind/>
    </w:pPr>
    <w:rPr>
      <w:sz w:val="18"/>
      <w:szCs w:val="18"/>
    </w:rPr>
  </w:style>
  <w:style w:type="paragraph" w:styleId="661">
    <w:name w:val="Footer"/>
    <w:basedOn w:val="654"/>
    <w:link w:val="664"/>
    <w:uiPriority w:val="99"/>
    <w:qFormat/>
    <w:pPr>
      <w:pBdr/>
      <w:tabs>
        <w:tab w:val="center" w:leader="none" w:pos="4153"/>
        <w:tab w:val="right" w:leader="none" w:pos="8306"/>
      </w:tabs>
      <w:spacing/>
      <w:ind/>
      <w:jc w:val="left"/>
    </w:pPr>
    <w:rPr>
      <w:sz w:val="18"/>
      <w:szCs w:val="18"/>
    </w:rPr>
  </w:style>
  <w:style w:type="paragraph" w:styleId="662">
    <w:name w:val="Header"/>
    <w:basedOn w:val="654"/>
    <w:link w:val="663"/>
    <w:uiPriority w:val="99"/>
    <w:qFormat/>
    <w:pPr>
      <w:pBdr>
        <w:bottom w:val="single" w:color="000000" w:sz="6" w:space="1"/>
      </w:pBdr>
      <w:tabs>
        <w:tab w:val="center" w:leader="none" w:pos="4153"/>
        <w:tab w:val="right" w:leader="none" w:pos="8306"/>
      </w:tabs>
      <w:spacing/>
      <w:ind/>
      <w:jc w:val="center"/>
    </w:pPr>
    <w:rPr>
      <w:sz w:val="18"/>
      <w:szCs w:val="18"/>
    </w:rPr>
  </w:style>
  <w:style w:type="character" w:styleId="663" w:customStyle="1">
    <w:name w:val="页眉 Char"/>
    <w:basedOn w:val="658"/>
    <w:link w:val="662"/>
    <w:uiPriority w:val="99"/>
    <w:qFormat/>
    <w:pPr>
      <w:pBdr/>
      <w:spacing/>
      <w:ind/>
    </w:pPr>
    <w:rPr>
      <w:rFonts w:cs="Times New Roman"/>
      <w:sz w:val="18"/>
      <w:szCs w:val="18"/>
    </w:rPr>
  </w:style>
  <w:style w:type="character" w:styleId="664" w:customStyle="1">
    <w:name w:val="页脚 Char"/>
    <w:basedOn w:val="658"/>
    <w:link w:val="661"/>
    <w:uiPriority w:val="99"/>
    <w:qFormat/>
    <w:pPr>
      <w:pBdr/>
      <w:spacing/>
      <w:ind/>
    </w:pPr>
    <w:rPr>
      <w:rFonts w:cs="Times New Roman"/>
      <w:sz w:val="18"/>
      <w:szCs w:val="18"/>
    </w:rPr>
  </w:style>
  <w:style w:type="paragraph" w:styleId="665">
    <w:name w:val="List Paragraph"/>
    <w:basedOn w:val="654"/>
    <w:uiPriority w:val="99"/>
    <w:qFormat/>
    <w:pPr>
      <w:pBdr/>
      <w:spacing/>
      <w:ind w:firstLine="420"/>
    </w:pPr>
  </w:style>
  <w:style w:type="character" w:styleId="666" w:customStyle="1">
    <w:name w:val="批注框文本 Char"/>
    <w:basedOn w:val="658"/>
    <w:link w:val="660"/>
    <w:uiPriority w:val="99"/>
    <w:semiHidden/>
    <w:qFormat/>
    <w:pPr>
      <w:pBdr/>
      <w:spacing/>
      <w:ind/>
    </w:pPr>
    <w:rPr>
      <w:rFonts w:eastAsia="仿宋_GB2312" w:cs="Times New Roman"/>
      <w:sz w:val="2"/>
    </w:rPr>
  </w:style>
  <w:style w:type="paragraph" w:styleId="667" w:customStyle="1">
    <w:name w:val="样式 标题 2 + 首行缩进:  2 字符1"/>
    <w:basedOn w:val="656"/>
    <w:uiPriority w:val="0"/>
    <w:qFormat/>
    <w:pPr>
      <w:pBdr/>
      <w:spacing/>
      <w:ind w:firstLine="482"/>
    </w:pPr>
    <w:rPr>
      <w:sz w:val="28"/>
      <w:szCs w:val="20"/>
    </w:rPr>
  </w:style>
  <w:style w:type="paragraph" w:styleId="668" w:customStyle="1">
    <w:name w:val="样式 标题 1 + 仿宋_GB2312 四号 段前: 7.8 磅 段后: 7.8 磅 行距: 固定值 28 磅"/>
    <w:basedOn w:val="655"/>
    <w:uiPriority w:val="0"/>
    <w:qFormat/>
    <w:pPr>
      <w:pBdr/>
      <w:spacing w:after="156" w:before="156" w:line="560" w:lineRule="exact"/>
      <w:ind/>
    </w:pPr>
    <w:rPr>
      <w:rFonts w:ascii="仿宋_GB2312" w:cs="宋体"/>
      <w:sz w:val="28"/>
      <w:szCs w:val="20"/>
    </w:rPr>
  </w:style>
  <w:style w:type="table" w:styleId="669" w:customStyle="1">
    <w:name w:val="Table Grid"/>
    <w:uiPriority w:val="0"/>
    <w:qFormat/>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223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匿名</cp:lastModifiedBy>
  <cp:revision>32</cp:revision>
  <dcterms:created xsi:type="dcterms:W3CDTF">2018-03-28T03:03:00Z</dcterms:created>
  <dcterms:modified xsi:type="dcterms:W3CDTF">2026-03-13T08:36:23Z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eyJoZGlkIjoiZTRkZTZiM2M4ZjA5ZDcxYWU1MTVhZTAzZjFhZmVkZmYifQ==</vt:lpwstr>
  </property>
  <property fmtid="{D5CDD505-2E9C-101B-9397-08002B2CF9AE}" pid="4" name="ICV">
    <vt:lpwstr>593728A759A0403DB7692F3A0C10C3DE_13</vt:lpwstr>
  </property>
</Properties>
</file>