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775" w:rsidRPr="00810360" w:rsidRDefault="00092775" w:rsidP="001644BB">
      <w:r w:rsidRPr="00810360">
        <w:rPr>
          <w:rFonts w:hint="eastAsia"/>
        </w:rPr>
        <w:t>附件</w:t>
      </w:r>
      <w:r w:rsidR="004254D1">
        <w:rPr>
          <w:rFonts w:hint="eastAsia"/>
        </w:rPr>
        <w:t>6</w:t>
      </w:r>
      <w:r w:rsidRPr="00810360">
        <w:t>:</w:t>
      </w:r>
    </w:p>
    <w:p w:rsidR="00092775" w:rsidRPr="00810360" w:rsidRDefault="00092775" w:rsidP="00AE613A">
      <w:pPr>
        <w:spacing w:line="400" w:lineRule="exact"/>
        <w:jc w:val="center"/>
        <w:rPr>
          <w:rFonts w:eastAsia="方正大标宋简体"/>
          <w:sz w:val="42"/>
          <w:szCs w:val="42"/>
        </w:rPr>
      </w:pPr>
    </w:p>
    <w:p w:rsidR="00092775" w:rsidRPr="00810360" w:rsidRDefault="00092775" w:rsidP="001644BB">
      <w:pPr>
        <w:jc w:val="center"/>
        <w:rPr>
          <w:rFonts w:eastAsia="方正大标宋简体"/>
          <w:sz w:val="42"/>
          <w:szCs w:val="42"/>
        </w:rPr>
      </w:pPr>
      <w:r w:rsidRPr="00810360">
        <w:rPr>
          <w:rFonts w:eastAsia="方正大标宋简体" w:hint="eastAsia"/>
          <w:sz w:val="42"/>
          <w:szCs w:val="42"/>
        </w:rPr>
        <w:t>名</w:t>
      </w:r>
      <w:r w:rsidRPr="00810360">
        <w:rPr>
          <w:rFonts w:eastAsia="方正大标宋简体"/>
          <w:sz w:val="42"/>
          <w:szCs w:val="42"/>
        </w:rPr>
        <w:t xml:space="preserve"> </w:t>
      </w:r>
      <w:r w:rsidRPr="00810360">
        <w:rPr>
          <w:rFonts w:eastAsia="方正大标宋简体" w:hint="eastAsia"/>
          <w:sz w:val="42"/>
          <w:szCs w:val="42"/>
        </w:rPr>
        <w:t>词</w:t>
      </w:r>
      <w:r w:rsidRPr="00810360">
        <w:rPr>
          <w:rFonts w:eastAsia="方正大标宋简体"/>
          <w:sz w:val="42"/>
          <w:szCs w:val="42"/>
        </w:rPr>
        <w:t xml:space="preserve"> </w:t>
      </w:r>
      <w:r w:rsidRPr="00810360">
        <w:rPr>
          <w:rFonts w:eastAsia="方正大标宋简体" w:hint="eastAsia"/>
          <w:sz w:val="42"/>
          <w:szCs w:val="42"/>
        </w:rPr>
        <w:t>解</w:t>
      </w:r>
      <w:r w:rsidRPr="00810360">
        <w:rPr>
          <w:rFonts w:eastAsia="方正大标宋简体"/>
          <w:sz w:val="42"/>
          <w:szCs w:val="42"/>
        </w:rPr>
        <w:t xml:space="preserve"> </w:t>
      </w:r>
      <w:r w:rsidRPr="00810360">
        <w:rPr>
          <w:rFonts w:eastAsia="方正大标宋简体" w:hint="eastAsia"/>
          <w:sz w:val="42"/>
          <w:szCs w:val="42"/>
        </w:rPr>
        <w:t>释</w:t>
      </w:r>
    </w:p>
    <w:p w:rsidR="00092775" w:rsidRPr="00810360" w:rsidRDefault="00092775" w:rsidP="001644BB"/>
    <w:p w:rsidR="00092775" w:rsidRPr="00810360" w:rsidRDefault="00092775" w:rsidP="004254D1">
      <w:pPr>
        <w:ind w:firstLineChars="200" w:firstLine="643"/>
        <w:rPr>
          <w:rFonts w:eastAsia="楷体"/>
          <w:b/>
        </w:rPr>
      </w:pPr>
      <w:r w:rsidRPr="00810360">
        <w:rPr>
          <w:rFonts w:eastAsia="楷体"/>
          <w:b/>
        </w:rPr>
        <w:t>1</w:t>
      </w:r>
      <w:r w:rsidRPr="00810360">
        <w:rPr>
          <w:rFonts w:eastAsia="楷体" w:hAnsi="楷体" w:hint="eastAsia"/>
          <w:b/>
        </w:rPr>
        <w:t>、一般公共预算</w:t>
      </w:r>
    </w:p>
    <w:p w:rsidR="00092775" w:rsidRPr="00810360" w:rsidRDefault="00092775" w:rsidP="004254D1">
      <w:pPr>
        <w:ind w:firstLineChars="200" w:firstLine="640"/>
      </w:pPr>
      <w:r w:rsidRPr="00810360">
        <w:rPr>
          <w:rFonts w:hint="eastAsia"/>
        </w:rPr>
        <w:t>指政府凭借国家政治权力，以社会管理者身份筹集以税收为主体的财政收入，用于保障和改善民生、维持国家行政职能正常行使、保障国家安全等方面的收支预算。</w:t>
      </w:r>
    </w:p>
    <w:p w:rsidR="00092775" w:rsidRPr="00810360" w:rsidRDefault="00092775" w:rsidP="004254D1">
      <w:pPr>
        <w:ind w:firstLineChars="200" w:firstLine="643"/>
        <w:rPr>
          <w:rFonts w:eastAsia="楷体"/>
          <w:b/>
        </w:rPr>
      </w:pPr>
      <w:r w:rsidRPr="00810360">
        <w:rPr>
          <w:rFonts w:eastAsia="楷体"/>
          <w:b/>
        </w:rPr>
        <w:t>2</w:t>
      </w:r>
      <w:r w:rsidRPr="00810360">
        <w:rPr>
          <w:rFonts w:eastAsia="楷体" w:hAnsi="楷体" w:hint="eastAsia"/>
          <w:b/>
        </w:rPr>
        <w:t>、一般公共预算收入</w:t>
      </w:r>
    </w:p>
    <w:p w:rsidR="00092775" w:rsidRPr="00810360" w:rsidRDefault="00092775" w:rsidP="004254D1">
      <w:pPr>
        <w:spacing w:line="660" w:lineRule="exact"/>
        <w:ind w:firstLineChars="200" w:firstLine="640"/>
      </w:pPr>
      <w:r w:rsidRPr="00810360">
        <w:rPr>
          <w:rFonts w:hint="eastAsia"/>
        </w:rPr>
        <w:t>指根据现行财政管理体制规定，划归地方财政的税收和非税收入。税收收入是指国家依据其政治权力向纳税人强制征收的收入，主要由增值税、消费税、营业税、企业所得税、个人所得税等</w:t>
      </w:r>
      <w:r w:rsidRPr="00810360">
        <w:t>20</w:t>
      </w:r>
      <w:r w:rsidRPr="00810360">
        <w:rPr>
          <w:rFonts w:hint="eastAsia"/>
        </w:rPr>
        <w:t>个税种组成。非税收入是指由各级政府、国家机关、事业单位、代行政府职能的社会团体及其他组织，依法利用政府权力、政府信誉、国家资源、国有资产或提供特定公共服务征收、收取、提取、募集的除税收和政府债务以外的财政收入。主要有专项收入、行政事业性收费收入、罚没收入、国有资源</w:t>
      </w:r>
      <w:r w:rsidRPr="00810360">
        <w:t>(</w:t>
      </w:r>
      <w:r w:rsidRPr="00810360">
        <w:rPr>
          <w:rFonts w:hint="eastAsia"/>
        </w:rPr>
        <w:t>资产</w:t>
      </w:r>
      <w:r w:rsidRPr="00810360">
        <w:t>)</w:t>
      </w:r>
      <w:r w:rsidRPr="00810360">
        <w:rPr>
          <w:rFonts w:hint="eastAsia"/>
        </w:rPr>
        <w:t>有偿使用收入、其他收入等</w:t>
      </w:r>
      <w:r>
        <w:rPr>
          <w:rFonts w:hint="eastAsia"/>
        </w:rPr>
        <w:t>。</w:t>
      </w:r>
    </w:p>
    <w:p w:rsidR="00092775" w:rsidRPr="00810360" w:rsidRDefault="00092775" w:rsidP="004254D1">
      <w:pPr>
        <w:spacing w:line="660" w:lineRule="exact"/>
        <w:ind w:firstLineChars="200" w:firstLine="643"/>
        <w:rPr>
          <w:rFonts w:eastAsia="楷体"/>
          <w:b/>
        </w:rPr>
      </w:pPr>
      <w:r w:rsidRPr="00810360">
        <w:rPr>
          <w:rFonts w:eastAsia="楷体"/>
          <w:b/>
        </w:rPr>
        <w:t>3</w:t>
      </w:r>
      <w:r w:rsidRPr="00810360">
        <w:rPr>
          <w:rFonts w:eastAsia="楷体" w:hAnsi="楷体" w:hint="eastAsia"/>
          <w:b/>
        </w:rPr>
        <w:t>、一般公共预算支出</w:t>
      </w:r>
    </w:p>
    <w:p w:rsidR="00092775" w:rsidRPr="00810360" w:rsidRDefault="00092775" w:rsidP="004254D1">
      <w:pPr>
        <w:spacing w:line="660" w:lineRule="exact"/>
        <w:ind w:firstLineChars="200" w:firstLine="640"/>
      </w:pPr>
      <w:r w:rsidRPr="00810360">
        <w:rPr>
          <w:rFonts w:hint="eastAsia"/>
        </w:rPr>
        <w:t>指按照现行中央政府与地方政府事权的划分，经各级人大批</w:t>
      </w:r>
      <w:r w:rsidRPr="00810360">
        <w:rPr>
          <w:rFonts w:hint="eastAsia"/>
        </w:rPr>
        <w:lastRenderedPageBreak/>
        <w:t>准，用于保障地方经济社会发展的各项支出。主要包括：</w:t>
      </w:r>
    </w:p>
    <w:p w:rsidR="00092775" w:rsidRPr="00810360" w:rsidRDefault="00092775" w:rsidP="004254D1">
      <w:pPr>
        <w:ind w:firstLineChars="200" w:firstLine="640"/>
      </w:pPr>
      <w:r w:rsidRPr="00810360">
        <w:rPr>
          <w:rFonts w:hint="eastAsia"/>
        </w:rPr>
        <w:t>（</w:t>
      </w:r>
      <w:r w:rsidRPr="00810360">
        <w:t>1</w:t>
      </w:r>
      <w:r w:rsidRPr="00810360">
        <w:rPr>
          <w:rFonts w:hint="eastAsia"/>
        </w:rPr>
        <w:t>）一般公共服务支出，主要是用于提供一般公共服务的人大、政协、政府办公及相关机构、党委办公及相关机构、发展与改革、财政、税收、群众团体事务等方面的支出。</w:t>
      </w:r>
    </w:p>
    <w:p w:rsidR="00092775" w:rsidRPr="00810360" w:rsidRDefault="00092775" w:rsidP="004254D1">
      <w:pPr>
        <w:ind w:firstLineChars="200" w:firstLine="640"/>
      </w:pPr>
      <w:r w:rsidRPr="00810360">
        <w:rPr>
          <w:rFonts w:hint="eastAsia"/>
        </w:rPr>
        <w:t>（</w:t>
      </w:r>
      <w:r w:rsidRPr="00810360">
        <w:t>2</w:t>
      </w:r>
      <w:r w:rsidRPr="00810360">
        <w:rPr>
          <w:rFonts w:hint="eastAsia"/>
        </w:rPr>
        <w:t>）国防支出，主要是用于兵役征集、国防教育、民兵建设与管理等方面的支出。</w:t>
      </w:r>
    </w:p>
    <w:p w:rsidR="00092775" w:rsidRPr="00810360" w:rsidRDefault="00092775" w:rsidP="004254D1">
      <w:pPr>
        <w:ind w:firstLineChars="200" w:firstLine="640"/>
      </w:pPr>
      <w:r w:rsidRPr="00810360">
        <w:rPr>
          <w:rFonts w:hint="eastAsia"/>
        </w:rPr>
        <w:t>（</w:t>
      </w:r>
      <w:r w:rsidRPr="00810360">
        <w:t>3</w:t>
      </w:r>
      <w:r w:rsidRPr="00810360">
        <w:rPr>
          <w:rFonts w:hint="eastAsia"/>
        </w:rPr>
        <w:t>）公共安全支出，主要是用于武装警</w:t>
      </w:r>
      <w:r>
        <w:rPr>
          <w:rFonts w:hint="eastAsia"/>
        </w:rPr>
        <w:t>察、公安、国家安全、司法、国家保密等维护社会公共安全方面的支出</w:t>
      </w:r>
      <w:r w:rsidRPr="00810360">
        <w:rPr>
          <w:rFonts w:hint="eastAsia"/>
        </w:rPr>
        <w:t>。</w:t>
      </w:r>
    </w:p>
    <w:p w:rsidR="00092775" w:rsidRPr="00810360" w:rsidRDefault="00092775" w:rsidP="004254D1">
      <w:pPr>
        <w:ind w:firstLineChars="200" w:firstLine="640"/>
      </w:pPr>
      <w:r w:rsidRPr="00810360">
        <w:rPr>
          <w:rFonts w:hint="eastAsia"/>
        </w:rPr>
        <w:t>（</w:t>
      </w:r>
      <w:r w:rsidRPr="00810360">
        <w:t>4</w:t>
      </w:r>
      <w:r w:rsidRPr="00810360">
        <w:rPr>
          <w:rFonts w:hint="eastAsia"/>
        </w:rPr>
        <w:t>）教育支出，主要是用于教育管理事务、普通教育、职业教育、成人教育、广播电视教育、进修及培训等教育事务方面的支出。</w:t>
      </w:r>
    </w:p>
    <w:p w:rsidR="00092775" w:rsidRPr="00810360" w:rsidRDefault="00092775" w:rsidP="004254D1">
      <w:pPr>
        <w:ind w:firstLineChars="200" w:firstLine="640"/>
      </w:pPr>
      <w:r w:rsidRPr="00810360">
        <w:rPr>
          <w:rFonts w:hint="eastAsia"/>
        </w:rPr>
        <w:t>（</w:t>
      </w:r>
      <w:r w:rsidRPr="00810360">
        <w:t>5</w:t>
      </w:r>
      <w:r w:rsidRPr="00810360">
        <w:rPr>
          <w:rFonts w:hint="eastAsia"/>
        </w:rPr>
        <w:t>）科学技术支出，主要是用于科学技术管理、基础研究、应用研究、技术研究与开发、科学技术普及等科学技术方面的支出。</w:t>
      </w:r>
    </w:p>
    <w:p w:rsidR="00092775" w:rsidRPr="00810360" w:rsidRDefault="00092775" w:rsidP="004254D1">
      <w:pPr>
        <w:ind w:firstLineChars="200" w:firstLine="640"/>
      </w:pPr>
      <w:r w:rsidRPr="00810360">
        <w:rPr>
          <w:rFonts w:hint="eastAsia"/>
        </w:rPr>
        <w:t>（</w:t>
      </w:r>
      <w:r w:rsidRPr="00810360">
        <w:t>6</w:t>
      </w:r>
      <w:r w:rsidRPr="00810360">
        <w:rPr>
          <w:rFonts w:hint="eastAsia"/>
        </w:rPr>
        <w:t>）文化体育与传媒支出，主要是用于文化、文物、体育、新闻出版、广播影视等方面的支出。</w:t>
      </w:r>
    </w:p>
    <w:p w:rsidR="00092775" w:rsidRPr="00810360" w:rsidRDefault="00092775" w:rsidP="004254D1">
      <w:pPr>
        <w:ind w:firstLineChars="200" w:firstLine="640"/>
      </w:pPr>
      <w:r w:rsidRPr="00810360">
        <w:rPr>
          <w:rFonts w:hint="eastAsia"/>
        </w:rPr>
        <w:t>（</w:t>
      </w:r>
      <w:r w:rsidRPr="00810360">
        <w:t>7</w:t>
      </w:r>
      <w:r w:rsidRPr="00810360">
        <w:rPr>
          <w:rFonts w:hint="eastAsia"/>
        </w:rPr>
        <w:t>）社会保障和就业支出，主要是用于人力资源和社会保障管理、民政管理、对社会保险基金的补助、行政事业单位离退休、就业补助、抚恤、退役安置、社会福利、残疾人事业、自然生活灾害救助、最低生活保障、救助等社会保障和就业方面的支出。</w:t>
      </w:r>
    </w:p>
    <w:p w:rsidR="00092775" w:rsidRDefault="00092775" w:rsidP="004254D1">
      <w:pPr>
        <w:ind w:firstLineChars="200" w:firstLine="640"/>
      </w:pPr>
      <w:r w:rsidRPr="00810360">
        <w:rPr>
          <w:rFonts w:hint="eastAsia"/>
        </w:rPr>
        <w:t>（</w:t>
      </w:r>
      <w:r w:rsidRPr="00810360">
        <w:t>8</w:t>
      </w:r>
      <w:r w:rsidRPr="00810360">
        <w:rPr>
          <w:rFonts w:hint="eastAsia"/>
        </w:rPr>
        <w:t>）卫生与计划生育支出，主要是用于医疗卫生管理、计划生育管理、公立医院、公共卫生、应急救治、医疗保障、食品药</w:t>
      </w:r>
    </w:p>
    <w:p w:rsidR="00092775" w:rsidRPr="00810360" w:rsidRDefault="00092775" w:rsidP="00CC536C">
      <w:proofErr w:type="gramStart"/>
      <w:r w:rsidRPr="00810360">
        <w:rPr>
          <w:rFonts w:hint="eastAsia"/>
        </w:rPr>
        <w:lastRenderedPageBreak/>
        <w:t>品监督</w:t>
      </w:r>
      <w:proofErr w:type="gramEnd"/>
      <w:r w:rsidRPr="00810360">
        <w:rPr>
          <w:rFonts w:hint="eastAsia"/>
        </w:rPr>
        <w:t>管理、等医疗卫生与计划生育方面的支出。</w:t>
      </w:r>
    </w:p>
    <w:p w:rsidR="00092775" w:rsidRPr="00810360" w:rsidRDefault="00092775" w:rsidP="004254D1">
      <w:pPr>
        <w:ind w:firstLineChars="200" w:firstLine="640"/>
      </w:pPr>
      <w:r w:rsidRPr="00810360">
        <w:rPr>
          <w:rFonts w:hint="eastAsia"/>
        </w:rPr>
        <w:t>（</w:t>
      </w:r>
      <w:r w:rsidRPr="00810360">
        <w:t>9</w:t>
      </w:r>
      <w:r w:rsidRPr="00810360">
        <w:rPr>
          <w:rFonts w:hint="eastAsia"/>
        </w:rPr>
        <w:t>）节能环保支出，主要是环境保护管理、环境监测与监察、污染防治、自然生态保护、退耕还林、污染减排、能源管理等节能环保方面的支出。</w:t>
      </w:r>
    </w:p>
    <w:p w:rsidR="00092775" w:rsidRPr="00810360" w:rsidRDefault="00092775" w:rsidP="004254D1">
      <w:pPr>
        <w:ind w:firstLineChars="200" w:firstLine="640"/>
      </w:pPr>
      <w:r w:rsidRPr="00810360">
        <w:rPr>
          <w:rFonts w:hint="eastAsia"/>
        </w:rPr>
        <w:t>（</w:t>
      </w:r>
      <w:r w:rsidRPr="00810360">
        <w:t>10</w:t>
      </w:r>
      <w:r w:rsidRPr="00810360">
        <w:rPr>
          <w:rFonts w:hint="eastAsia"/>
        </w:rPr>
        <w:t>）城乡社区事务支出，主要是用于城管执法、工程建设管理、城乡社区规划与管理、公共基础设施建设、城乡社区环境卫生等城乡社区事务方面的支出。</w:t>
      </w:r>
    </w:p>
    <w:p w:rsidR="00092775" w:rsidRPr="00810360" w:rsidRDefault="00092775" w:rsidP="004254D1">
      <w:pPr>
        <w:ind w:firstLineChars="200" w:firstLine="640"/>
      </w:pPr>
      <w:r w:rsidRPr="00810360">
        <w:rPr>
          <w:rFonts w:hint="eastAsia"/>
        </w:rPr>
        <w:t>（</w:t>
      </w:r>
      <w:r w:rsidRPr="00810360">
        <w:t>11</w:t>
      </w:r>
      <w:r w:rsidRPr="00810360">
        <w:rPr>
          <w:rFonts w:hint="eastAsia"/>
        </w:rPr>
        <w:t>）农林水事务支出，主要是用于农业、林业、水利、扶贫、农业综合开发、农业综合改革等农林水方面的支出。</w:t>
      </w:r>
    </w:p>
    <w:p w:rsidR="00092775" w:rsidRPr="00810360" w:rsidRDefault="00092775" w:rsidP="004254D1">
      <w:pPr>
        <w:ind w:firstLineChars="200" w:firstLine="640"/>
      </w:pPr>
      <w:r w:rsidRPr="00810360">
        <w:rPr>
          <w:rFonts w:hint="eastAsia"/>
        </w:rPr>
        <w:t>（</w:t>
      </w:r>
      <w:r w:rsidRPr="00810360">
        <w:t>12</w:t>
      </w:r>
      <w:r w:rsidRPr="00810360">
        <w:rPr>
          <w:rFonts w:hint="eastAsia"/>
        </w:rPr>
        <w:t>）交通运输支出，主要是用于公路、水路、铁路建设与管理、成品油价格改革对城市公交、出租车的补贴等交通运输方面的支出。</w:t>
      </w:r>
    </w:p>
    <w:p w:rsidR="00092775" w:rsidRPr="00810360" w:rsidRDefault="00092775" w:rsidP="004254D1">
      <w:pPr>
        <w:ind w:firstLineChars="200" w:firstLine="640"/>
      </w:pPr>
      <w:r w:rsidRPr="00810360">
        <w:rPr>
          <w:rFonts w:hint="eastAsia"/>
        </w:rPr>
        <w:t>（</w:t>
      </w:r>
      <w:r w:rsidRPr="00810360">
        <w:t>13</w:t>
      </w:r>
      <w:r w:rsidRPr="00810360">
        <w:rPr>
          <w:rFonts w:hint="eastAsia"/>
        </w:rPr>
        <w:t>）资源勘探电力信息等事务支出，主要是用于工业和信息产业</w:t>
      </w:r>
      <w:r>
        <w:rPr>
          <w:rFonts w:hint="eastAsia"/>
        </w:rPr>
        <w:t>监管、安全生产监督、国有资产监管、支持中小企业发展等方面的支出</w:t>
      </w:r>
      <w:r w:rsidRPr="00810360">
        <w:rPr>
          <w:rFonts w:hint="eastAsia"/>
        </w:rPr>
        <w:t>。</w:t>
      </w:r>
    </w:p>
    <w:p w:rsidR="00092775" w:rsidRPr="00810360" w:rsidRDefault="00092775" w:rsidP="004254D1">
      <w:pPr>
        <w:ind w:firstLineChars="200" w:firstLine="640"/>
      </w:pPr>
      <w:r w:rsidRPr="00810360">
        <w:rPr>
          <w:rFonts w:hint="eastAsia"/>
        </w:rPr>
        <w:t>（</w:t>
      </w:r>
      <w:r w:rsidRPr="00810360">
        <w:t>14</w:t>
      </w:r>
      <w:r w:rsidRPr="00810360">
        <w:rPr>
          <w:rFonts w:hint="eastAsia"/>
        </w:rPr>
        <w:t>）商业服务业等事务支出，主要是用于商业流通、旅游业管理与服务、涉外发展等商业服务业方面的支出。</w:t>
      </w:r>
    </w:p>
    <w:p w:rsidR="00092775" w:rsidRPr="00810360" w:rsidRDefault="00092775" w:rsidP="004254D1">
      <w:pPr>
        <w:ind w:firstLineChars="200" w:firstLine="640"/>
      </w:pPr>
      <w:r w:rsidRPr="00810360">
        <w:rPr>
          <w:rFonts w:hint="eastAsia"/>
        </w:rPr>
        <w:t>（</w:t>
      </w:r>
      <w:r w:rsidRPr="00810360">
        <w:t>15</w:t>
      </w:r>
      <w:r w:rsidRPr="00810360">
        <w:rPr>
          <w:rFonts w:hint="eastAsia"/>
        </w:rPr>
        <w:t>）援助其他地区支出，主要是用于对其他地区各类援助、捐赠等方面的支出。</w:t>
      </w:r>
    </w:p>
    <w:p w:rsidR="00092775" w:rsidRPr="00810360" w:rsidRDefault="00092775" w:rsidP="004254D1">
      <w:pPr>
        <w:ind w:firstLineChars="200" w:firstLine="640"/>
      </w:pPr>
      <w:r w:rsidRPr="00810360">
        <w:rPr>
          <w:rFonts w:hint="eastAsia"/>
        </w:rPr>
        <w:t>（</w:t>
      </w:r>
      <w:r w:rsidRPr="00810360">
        <w:t>16</w:t>
      </w:r>
      <w:r w:rsidRPr="00810360">
        <w:rPr>
          <w:rFonts w:hint="eastAsia"/>
        </w:rPr>
        <w:t>）国土资源气象等事务支出，主要是用于国土资源、测绘、地震、气象等公益服务事业方面的支出。</w:t>
      </w:r>
    </w:p>
    <w:p w:rsidR="00092775" w:rsidRPr="00810360" w:rsidRDefault="00092775" w:rsidP="004254D1">
      <w:pPr>
        <w:ind w:firstLineChars="200" w:firstLine="640"/>
      </w:pPr>
      <w:r w:rsidRPr="00810360">
        <w:rPr>
          <w:rFonts w:hint="eastAsia"/>
        </w:rPr>
        <w:t>（</w:t>
      </w:r>
      <w:r w:rsidRPr="00810360">
        <w:t>17</w:t>
      </w:r>
      <w:r w:rsidRPr="00810360">
        <w:rPr>
          <w:rFonts w:hint="eastAsia"/>
        </w:rPr>
        <w:t>）住房保障支出，主要是用于保障性安居工程、住房公</w:t>
      </w:r>
      <w:r w:rsidRPr="00810360">
        <w:rPr>
          <w:rFonts w:hint="eastAsia"/>
        </w:rPr>
        <w:lastRenderedPageBreak/>
        <w:t>积金、购房补贴等住房方面的支出。</w:t>
      </w:r>
    </w:p>
    <w:p w:rsidR="00092775" w:rsidRPr="00810360" w:rsidRDefault="00092775" w:rsidP="004254D1">
      <w:pPr>
        <w:ind w:firstLineChars="200" w:firstLine="640"/>
      </w:pPr>
      <w:r w:rsidRPr="00810360">
        <w:rPr>
          <w:rFonts w:hint="eastAsia"/>
        </w:rPr>
        <w:t>（</w:t>
      </w:r>
      <w:r w:rsidRPr="00810360">
        <w:t>18</w:t>
      </w:r>
      <w:r w:rsidRPr="00810360">
        <w:rPr>
          <w:rFonts w:hint="eastAsia"/>
        </w:rPr>
        <w:t>）粮油物资储备支出，主要是用于粮油物资储备方面的支出。</w:t>
      </w:r>
    </w:p>
    <w:p w:rsidR="00092775" w:rsidRPr="00810360" w:rsidRDefault="00092775" w:rsidP="004254D1">
      <w:pPr>
        <w:ind w:firstLineChars="200" w:firstLine="640"/>
      </w:pPr>
      <w:r w:rsidRPr="00810360">
        <w:rPr>
          <w:rFonts w:hint="eastAsia"/>
        </w:rPr>
        <w:t>（</w:t>
      </w:r>
      <w:r w:rsidRPr="00810360">
        <w:t>19</w:t>
      </w:r>
      <w:r w:rsidRPr="00810360">
        <w:rPr>
          <w:rFonts w:hint="eastAsia"/>
        </w:rPr>
        <w:t>）其他支出，主要是用于人防建设、征兵、权责发生制列支等方面的支出。</w:t>
      </w:r>
    </w:p>
    <w:p w:rsidR="00092775" w:rsidRPr="00810360" w:rsidRDefault="00092775" w:rsidP="004254D1">
      <w:pPr>
        <w:ind w:firstLineChars="200" w:firstLine="640"/>
      </w:pPr>
      <w:r w:rsidRPr="00810360">
        <w:rPr>
          <w:rFonts w:hint="eastAsia"/>
        </w:rPr>
        <w:t>（</w:t>
      </w:r>
      <w:r w:rsidRPr="00810360">
        <w:t>20</w:t>
      </w:r>
      <w:r w:rsidRPr="00810360">
        <w:rPr>
          <w:rFonts w:hint="eastAsia"/>
        </w:rPr>
        <w:t>）债务付息支出，主要是用于归还一般债务利息所发生的支出。</w:t>
      </w:r>
    </w:p>
    <w:p w:rsidR="00092775" w:rsidRPr="00810360" w:rsidRDefault="00092775" w:rsidP="004254D1">
      <w:pPr>
        <w:ind w:firstLineChars="200" w:firstLine="640"/>
      </w:pPr>
      <w:r w:rsidRPr="00810360">
        <w:rPr>
          <w:rFonts w:hint="eastAsia"/>
        </w:rPr>
        <w:t>（</w:t>
      </w:r>
      <w:r w:rsidRPr="00810360">
        <w:t>21</w:t>
      </w:r>
      <w:r w:rsidRPr="00810360">
        <w:rPr>
          <w:rFonts w:hint="eastAsia"/>
        </w:rPr>
        <w:t>）债务发行费用支出，主要是用于政府用于一般债务发行兑付费用方面的支出。</w:t>
      </w:r>
    </w:p>
    <w:p w:rsidR="00092775" w:rsidRPr="00810360" w:rsidRDefault="00092775" w:rsidP="004254D1">
      <w:pPr>
        <w:ind w:firstLineChars="200" w:firstLine="643"/>
        <w:rPr>
          <w:rFonts w:eastAsia="楷体"/>
          <w:b/>
        </w:rPr>
      </w:pPr>
      <w:r w:rsidRPr="00810360">
        <w:rPr>
          <w:rFonts w:eastAsia="楷体"/>
          <w:b/>
        </w:rPr>
        <w:t>4</w:t>
      </w:r>
      <w:r w:rsidRPr="00810360">
        <w:rPr>
          <w:rFonts w:eastAsia="楷体" w:hAnsi="楷体" w:hint="eastAsia"/>
          <w:b/>
        </w:rPr>
        <w:t>、转移支付</w:t>
      </w:r>
    </w:p>
    <w:p w:rsidR="00092775" w:rsidRPr="00810360" w:rsidRDefault="00092775" w:rsidP="004254D1">
      <w:pPr>
        <w:ind w:firstLineChars="200" w:firstLine="640"/>
      </w:pPr>
      <w:r w:rsidRPr="00810360">
        <w:rPr>
          <w:rFonts w:hint="eastAsia"/>
        </w:rPr>
        <w:t>指上级政府通过预算安排的对下级政府无偿的资金拨付。现行我国中央、省、市州对地方的转移支付主要可分为两类：</w:t>
      </w:r>
      <w:proofErr w:type="gramStart"/>
      <w:r w:rsidRPr="00810360">
        <w:rPr>
          <w:rFonts w:hint="eastAsia"/>
        </w:rPr>
        <w:t>一是一般性转移</w:t>
      </w:r>
      <w:proofErr w:type="gramEnd"/>
      <w:r w:rsidRPr="00810360">
        <w:rPr>
          <w:rFonts w:hint="eastAsia"/>
        </w:rPr>
        <w:t>支付，不规定具体用途，可由地方作为财力统筹安排使用，旨在促进地方政府提供基本公共服务的均等化和保障国家出台的重大政策实施；二是专项转移支付，为了实现中央、省、市州特定政策目标，专款专用。</w:t>
      </w:r>
    </w:p>
    <w:p w:rsidR="00092775" w:rsidRPr="00810360" w:rsidRDefault="00092775" w:rsidP="004254D1">
      <w:pPr>
        <w:ind w:firstLineChars="200" w:firstLine="643"/>
        <w:rPr>
          <w:rFonts w:eastAsia="楷体"/>
          <w:b/>
        </w:rPr>
      </w:pPr>
      <w:r w:rsidRPr="00810360">
        <w:rPr>
          <w:rFonts w:eastAsia="楷体"/>
          <w:b/>
        </w:rPr>
        <w:t>5</w:t>
      </w:r>
      <w:r w:rsidRPr="00810360">
        <w:rPr>
          <w:rFonts w:eastAsia="楷体" w:hAnsi="楷体" w:hint="eastAsia"/>
          <w:b/>
        </w:rPr>
        <w:t>、</w:t>
      </w:r>
      <w:proofErr w:type="gramStart"/>
      <w:r w:rsidRPr="00810360">
        <w:rPr>
          <w:rFonts w:eastAsia="楷体" w:hAnsi="楷体" w:hint="eastAsia"/>
          <w:b/>
        </w:rPr>
        <w:t>营改增</w:t>
      </w:r>
      <w:proofErr w:type="gramEnd"/>
    </w:p>
    <w:p w:rsidR="00092775" w:rsidRDefault="00092775" w:rsidP="004254D1">
      <w:pPr>
        <w:ind w:firstLineChars="200" w:firstLine="640"/>
      </w:pPr>
      <w:r w:rsidRPr="00810360">
        <w:rPr>
          <w:rFonts w:hint="eastAsia"/>
        </w:rPr>
        <w:t>指以前缴纳营业税的应税项目改成缴纳增值税，简称</w:t>
      </w:r>
      <w:proofErr w:type="gramStart"/>
      <w:r w:rsidRPr="00810360">
        <w:rPr>
          <w:rFonts w:hint="eastAsia"/>
        </w:rPr>
        <w:t>营改增</w:t>
      </w:r>
      <w:proofErr w:type="gramEnd"/>
      <w:r w:rsidRPr="00810360">
        <w:rPr>
          <w:rFonts w:hint="eastAsia"/>
        </w:rPr>
        <w:t>，增值税只对产品或者服务的增值部分纳税，减少了重复纳税的环节，是党中央、国务院，根据经济社会发展新形势，从深化改革</w:t>
      </w:r>
    </w:p>
    <w:p w:rsidR="00092775" w:rsidRPr="00810360" w:rsidRDefault="00092775" w:rsidP="00CC536C">
      <w:r w:rsidRPr="00810360">
        <w:rPr>
          <w:rFonts w:hint="eastAsia"/>
        </w:rPr>
        <w:t>的总体部署出发做出的重要决策，目的是加快财税体制改革、进一步减轻企业赋税，调动各方积极性，促进服务业尤其是科技等</w:t>
      </w:r>
      <w:r w:rsidRPr="00810360">
        <w:rPr>
          <w:rFonts w:hint="eastAsia"/>
        </w:rPr>
        <w:lastRenderedPageBreak/>
        <w:t>高端服务业的发展，促进产业和消费升级、培育新动能、深化供给侧结构性改革。</w:t>
      </w:r>
      <w:proofErr w:type="gramStart"/>
      <w:r w:rsidRPr="00810360">
        <w:rPr>
          <w:rFonts w:hint="eastAsia"/>
        </w:rPr>
        <w:t>营改增</w:t>
      </w:r>
      <w:proofErr w:type="gramEnd"/>
      <w:r w:rsidRPr="00810360">
        <w:rPr>
          <w:rFonts w:hint="eastAsia"/>
        </w:rPr>
        <w:t>在全国的推开，大致经历了以下三个阶段。</w:t>
      </w:r>
      <w:r w:rsidRPr="00810360">
        <w:t>2013</w:t>
      </w:r>
      <w:r w:rsidRPr="00810360">
        <w:rPr>
          <w:rFonts w:hint="eastAsia"/>
        </w:rPr>
        <w:t>年</w:t>
      </w:r>
      <w:r w:rsidRPr="00810360">
        <w:t>8</w:t>
      </w:r>
      <w:r w:rsidRPr="00810360">
        <w:rPr>
          <w:rFonts w:hint="eastAsia"/>
        </w:rPr>
        <w:t>月</w:t>
      </w:r>
      <w:r w:rsidRPr="00810360">
        <w:t>1</w:t>
      </w:r>
      <w:r w:rsidRPr="00810360">
        <w:rPr>
          <w:rFonts w:hint="eastAsia"/>
        </w:rPr>
        <w:t>日，</w:t>
      </w:r>
      <w:r w:rsidRPr="00810360">
        <w:t>"</w:t>
      </w:r>
      <w:r w:rsidRPr="00810360">
        <w:rPr>
          <w:rFonts w:hint="eastAsia"/>
        </w:rPr>
        <w:t>营改增</w:t>
      </w:r>
      <w:r w:rsidRPr="00810360">
        <w:t>"</w:t>
      </w:r>
      <w:r w:rsidRPr="00810360">
        <w:rPr>
          <w:rFonts w:hint="eastAsia"/>
        </w:rPr>
        <w:t>范围推广到全国试行，将广播影视服务业纳入试点范围。</w:t>
      </w:r>
      <w:r w:rsidRPr="00810360">
        <w:t>2014</w:t>
      </w:r>
      <w:r w:rsidRPr="00810360">
        <w:rPr>
          <w:rFonts w:hint="eastAsia"/>
        </w:rPr>
        <w:t>年</w:t>
      </w:r>
      <w:r w:rsidRPr="00810360">
        <w:t>1</w:t>
      </w:r>
      <w:r w:rsidRPr="00810360">
        <w:rPr>
          <w:rFonts w:hint="eastAsia"/>
        </w:rPr>
        <w:t>月</w:t>
      </w:r>
      <w:r w:rsidRPr="00810360">
        <w:t>1</w:t>
      </w:r>
      <w:r w:rsidRPr="00810360">
        <w:rPr>
          <w:rFonts w:hint="eastAsia"/>
        </w:rPr>
        <w:t>日起，将铁路运输和邮政服务业纳入营业税改征增值税试点，至此交通运输业已全部纳入营改增范围</w:t>
      </w:r>
      <w:r w:rsidRPr="00810360">
        <w:t>; 2016</w:t>
      </w:r>
      <w:r w:rsidRPr="00810360">
        <w:rPr>
          <w:rFonts w:hint="eastAsia"/>
        </w:rPr>
        <w:t>年</w:t>
      </w:r>
      <w:r w:rsidRPr="00810360">
        <w:t>3</w:t>
      </w:r>
      <w:r w:rsidRPr="00810360">
        <w:rPr>
          <w:rFonts w:hint="eastAsia"/>
        </w:rPr>
        <w:t>月</w:t>
      </w:r>
      <w:r w:rsidRPr="00810360">
        <w:t>18</w:t>
      </w:r>
      <w:r w:rsidRPr="00810360">
        <w:rPr>
          <w:rFonts w:hint="eastAsia"/>
        </w:rPr>
        <w:t>日召开的国务院常务会议决定，自</w:t>
      </w:r>
      <w:r w:rsidRPr="00810360">
        <w:t>2016</w:t>
      </w:r>
      <w:r w:rsidRPr="00810360">
        <w:rPr>
          <w:rFonts w:hint="eastAsia"/>
        </w:rPr>
        <w:t>年</w:t>
      </w:r>
      <w:r w:rsidRPr="00810360">
        <w:t>5</w:t>
      </w:r>
      <w:r w:rsidRPr="00810360">
        <w:rPr>
          <w:rFonts w:hint="eastAsia"/>
        </w:rPr>
        <w:t>月</w:t>
      </w:r>
      <w:r w:rsidRPr="00810360">
        <w:t>1</w:t>
      </w:r>
      <w:r w:rsidRPr="00810360">
        <w:rPr>
          <w:rFonts w:hint="eastAsia"/>
        </w:rPr>
        <w:t>日起，中国将全面推</w:t>
      </w:r>
      <w:proofErr w:type="gramStart"/>
      <w:r w:rsidRPr="00810360">
        <w:rPr>
          <w:rFonts w:hint="eastAsia"/>
        </w:rPr>
        <w:t>开营改增试点</w:t>
      </w:r>
      <w:proofErr w:type="gramEnd"/>
      <w:r w:rsidRPr="00810360">
        <w:rPr>
          <w:rFonts w:hint="eastAsia"/>
        </w:rPr>
        <w:t>，将建筑业、房地产业、金融业、生活服务业全部纳入营改增试点，至此营改增全面铺开。</w:t>
      </w:r>
    </w:p>
    <w:p w:rsidR="00092775" w:rsidRPr="00810360" w:rsidRDefault="00092775" w:rsidP="004254D1">
      <w:pPr>
        <w:ind w:firstLineChars="200" w:firstLine="643"/>
        <w:rPr>
          <w:rFonts w:eastAsia="楷体"/>
          <w:b/>
        </w:rPr>
      </w:pPr>
      <w:r w:rsidRPr="00810360">
        <w:rPr>
          <w:rFonts w:eastAsia="楷体"/>
          <w:b/>
        </w:rPr>
        <w:t>6</w:t>
      </w:r>
      <w:r w:rsidRPr="00810360">
        <w:rPr>
          <w:rFonts w:eastAsia="楷体" w:hAnsi="楷体" w:hint="eastAsia"/>
          <w:b/>
        </w:rPr>
        <w:t>、返还性收入</w:t>
      </w:r>
    </w:p>
    <w:p w:rsidR="00092775" w:rsidRPr="00810360" w:rsidRDefault="00092775" w:rsidP="004254D1">
      <w:pPr>
        <w:ind w:firstLineChars="200" w:firstLine="640"/>
      </w:pPr>
      <w:r w:rsidRPr="00810360">
        <w:rPr>
          <w:rFonts w:hint="eastAsia"/>
        </w:rPr>
        <w:t>指下级政府收到上级政府的返还性收入，包括增值税和消费税返还、所得税基数返还、成品油价格和税费改革税收返还和其他税收返还等。</w:t>
      </w:r>
    </w:p>
    <w:p w:rsidR="00092775" w:rsidRPr="00810360" w:rsidRDefault="00092775" w:rsidP="004254D1">
      <w:pPr>
        <w:ind w:firstLineChars="200" w:firstLine="643"/>
        <w:rPr>
          <w:rFonts w:eastAsia="楷体"/>
          <w:b/>
        </w:rPr>
      </w:pPr>
      <w:r w:rsidRPr="00810360">
        <w:rPr>
          <w:rFonts w:eastAsia="楷体"/>
          <w:b/>
        </w:rPr>
        <w:t>7</w:t>
      </w:r>
      <w:r w:rsidRPr="00810360">
        <w:rPr>
          <w:rFonts w:eastAsia="楷体" w:hAnsi="楷体" w:hint="eastAsia"/>
          <w:b/>
        </w:rPr>
        <w:t>、调入资金</w:t>
      </w:r>
    </w:p>
    <w:p w:rsidR="00092775" w:rsidRPr="00810360" w:rsidRDefault="00092775" w:rsidP="004254D1">
      <w:pPr>
        <w:ind w:firstLineChars="200" w:firstLine="640"/>
      </w:pPr>
      <w:r w:rsidRPr="00810360">
        <w:rPr>
          <w:rFonts w:hint="eastAsia"/>
        </w:rPr>
        <w:t>指不同性质之间的调入收入，本文主要是反映从政府性基金预算、国有资本经营预算等其他预算调入一般公共预算的资金。</w:t>
      </w:r>
    </w:p>
    <w:p w:rsidR="00092775" w:rsidRPr="00810360" w:rsidRDefault="00092775" w:rsidP="004254D1">
      <w:pPr>
        <w:ind w:firstLineChars="200" w:firstLine="643"/>
        <w:rPr>
          <w:rFonts w:eastAsia="楷体"/>
          <w:b/>
        </w:rPr>
      </w:pPr>
      <w:r w:rsidRPr="00810360">
        <w:rPr>
          <w:rFonts w:eastAsia="楷体"/>
          <w:b/>
        </w:rPr>
        <w:t>8</w:t>
      </w:r>
      <w:r w:rsidRPr="00810360">
        <w:rPr>
          <w:rFonts w:eastAsia="楷体" w:hAnsi="楷体" w:hint="eastAsia"/>
          <w:b/>
        </w:rPr>
        <w:t>、上解省财政支出</w:t>
      </w:r>
    </w:p>
    <w:p w:rsidR="00092775" w:rsidRPr="00810360" w:rsidRDefault="00092775" w:rsidP="004254D1">
      <w:pPr>
        <w:ind w:firstLineChars="200" w:firstLine="640"/>
      </w:pPr>
      <w:r w:rsidRPr="00810360">
        <w:rPr>
          <w:rFonts w:hint="eastAsia"/>
        </w:rPr>
        <w:t>是指市级财政根据省对下财政体制应上解省级财政的支出，主要包括体制上解支出和专项上解支出。</w:t>
      </w:r>
    </w:p>
    <w:p w:rsidR="00092775" w:rsidRPr="00810360" w:rsidRDefault="00092775" w:rsidP="004254D1">
      <w:pPr>
        <w:ind w:firstLineChars="200" w:firstLine="643"/>
        <w:rPr>
          <w:rFonts w:eastAsia="楷体"/>
          <w:b/>
        </w:rPr>
      </w:pPr>
      <w:r w:rsidRPr="00810360">
        <w:rPr>
          <w:rFonts w:eastAsia="楷体"/>
          <w:b/>
        </w:rPr>
        <w:t>9</w:t>
      </w:r>
      <w:r w:rsidRPr="00810360">
        <w:rPr>
          <w:rFonts w:eastAsia="楷体" w:hAnsi="楷体" w:hint="eastAsia"/>
          <w:b/>
        </w:rPr>
        <w:t>、预算稳定调节基金</w:t>
      </w:r>
    </w:p>
    <w:p w:rsidR="00092775" w:rsidRPr="00810360" w:rsidRDefault="00092775" w:rsidP="004254D1">
      <w:pPr>
        <w:ind w:firstLineChars="200" w:firstLine="640"/>
      </w:pPr>
      <w:r w:rsidRPr="00810360">
        <w:rPr>
          <w:rFonts w:hint="eastAsia"/>
        </w:rPr>
        <w:t>是指各级财政通过超收或清理整合结余资金安排的具有储备性质的基金，用于弥补短收年份预算执行的收支缺口，以及</w:t>
      </w:r>
      <w:proofErr w:type="gramStart"/>
      <w:r w:rsidRPr="00810360">
        <w:rPr>
          <w:rFonts w:hint="eastAsia"/>
        </w:rPr>
        <w:t>视预</w:t>
      </w:r>
      <w:r w:rsidRPr="00810360">
        <w:rPr>
          <w:rFonts w:hint="eastAsia"/>
        </w:rPr>
        <w:lastRenderedPageBreak/>
        <w:t>算</w:t>
      </w:r>
      <w:proofErr w:type="gramEnd"/>
      <w:r w:rsidRPr="00810360">
        <w:rPr>
          <w:rFonts w:hint="eastAsia"/>
        </w:rPr>
        <w:t>平衡情况，在安排年初预算时调入并安排使用，是一种逆周期财政政策的重要工具。</w:t>
      </w:r>
    </w:p>
    <w:p w:rsidR="00092775" w:rsidRPr="00810360" w:rsidRDefault="00092775" w:rsidP="004254D1">
      <w:pPr>
        <w:ind w:firstLineChars="200" w:firstLine="643"/>
        <w:rPr>
          <w:rFonts w:eastAsia="楷体"/>
          <w:b/>
        </w:rPr>
      </w:pPr>
      <w:r w:rsidRPr="00810360">
        <w:rPr>
          <w:rFonts w:eastAsia="楷体"/>
          <w:b/>
        </w:rPr>
        <w:t>10</w:t>
      </w:r>
      <w:r w:rsidRPr="00810360">
        <w:rPr>
          <w:rFonts w:eastAsia="楷体" w:hAnsi="楷体" w:hint="eastAsia"/>
          <w:b/>
        </w:rPr>
        <w:t>、政府性基金预算</w:t>
      </w:r>
    </w:p>
    <w:p w:rsidR="00092775" w:rsidRPr="00810360" w:rsidRDefault="00092775" w:rsidP="004254D1">
      <w:pPr>
        <w:ind w:firstLineChars="200" w:firstLine="640"/>
      </w:pPr>
      <w:r w:rsidRPr="00810360">
        <w:rPr>
          <w:rFonts w:hint="eastAsia"/>
        </w:rPr>
        <w:t>指政府通过向社会征收基金、收费，以及出让土地、发行彩票等方式取得收入，专项用于支持特定基础设施建设和社会事业发展等方面的收支预算。</w:t>
      </w:r>
    </w:p>
    <w:p w:rsidR="00092775" w:rsidRPr="00810360" w:rsidRDefault="00092775" w:rsidP="004254D1">
      <w:pPr>
        <w:ind w:firstLineChars="200" w:firstLine="643"/>
        <w:rPr>
          <w:rFonts w:eastAsia="楷体"/>
          <w:b/>
        </w:rPr>
      </w:pPr>
      <w:r w:rsidRPr="00810360">
        <w:rPr>
          <w:rFonts w:eastAsia="楷体"/>
          <w:b/>
        </w:rPr>
        <w:t>11</w:t>
      </w:r>
      <w:r w:rsidRPr="00810360">
        <w:rPr>
          <w:rFonts w:eastAsia="楷体" w:hAnsi="楷体" w:hint="eastAsia"/>
          <w:b/>
        </w:rPr>
        <w:t>、社会保险基金预算</w:t>
      </w:r>
    </w:p>
    <w:p w:rsidR="00092775" w:rsidRPr="00810360" w:rsidRDefault="00092775" w:rsidP="004254D1">
      <w:pPr>
        <w:ind w:firstLineChars="200" w:firstLine="640"/>
      </w:pPr>
      <w:r w:rsidRPr="00810360">
        <w:rPr>
          <w:rFonts w:hint="eastAsia"/>
        </w:rPr>
        <w:t>指政府通过社会保险单位缴费、政府公共预算安排等方式取得收入，专项用于社会保障支出的收支预算。</w:t>
      </w:r>
    </w:p>
    <w:p w:rsidR="00092775" w:rsidRPr="00810360" w:rsidRDefault="00092775" w:rsidP="004254D1">
      <w:pPr>
        <w:ind w:firstLineChars="200" w:firstLine="643"/>
        <w:rPr>
          <w:rFonts w:eastAsia="楷体"/>
          <w:b/>
        </w:rPr>
      </w:pPr>
      <w:r w:rsidRPr="00810360">
        <w:rPr>
          <w:rFonts w:eastAsia="楷体"/>
          <w:b/>
        </w:rPr>
        <w:t>12</w:t>
      </w:r>
      <w:r w:rsidRPr="00810360">
        <w:rPr>
          <w:rFonts w:eastAsia="楷体" w:hAnsi="楷体" w:hint="eastAsia"/>
          <w:b/>
        </w:rPr>
        <w:t>、国有资本经营预算</w:t>
      </w:r>
    </w:p>
    <w:p w:rsidR="00092775" w:rsidRPr="00810360" w:rsidRDefault="00092775" w:rsidP="004254D1">
      <w:pPr>
        <w:ind w:firstLineChars="200" w:firstLine="640"/>
      </w:pPr>
      <w:r w:rsidRPr="00810360">
        <w:rPr>
          <w:rFonts w:hint="eastAsia"/>
        </w:rPr>
        <w:t>指国家以所有者身份依法取得国有资本经营收益，并对所得收益进行分配而发生的收支预算。国有资本经营预算收入主要包括从国家出资企业取得的利润、股利、股息和国有产权</w:t>
      </w:r>
      <w:r w:rsidRPr="00810360">
        <w:t>(</w:t>
      </w:r>
      <w:r w:rsidRPr="00810360">
        <w:rPr>
          <w:rFonts w:hint="eastAsia"/>
        </w:rPr>
        <w:t>股权</w:t>
      </w:r>
      <w:r w:rsidRPr="00810360">
        <w:t>)</w:t>
      </w:r>
      <w:r w:rsidRPr="00810360">
        <w:rPr>
          <w:rFonts w:hint="eastAsia"/>
        </w:rPr>
        <w:t>转让收入、清算收入等，支出主要用于对国有经济和产业结构调整以及弥补一些国有企业的改革成本等。</w:t>
      </w:r>
    </w:p>
    <w:p w:rsidR="00092775" w:rsidRPr="00810360" w:rsidRDefault="00092775" w:rsidP="004254D1">
      <w:pPr>
        <w:ind w:firstLineChars="200" w:firstLine="643"/>
        <w:rPr>
          <w:rFonts w:eastAsia="楷体"/>
          <w:b/>
        </w:rPr>
      </w:pPr>
      <w:r w:rsidRPr="00810360">
        <w:rPr>
          <w:rFonts w:eastAsia="楷体"/>
          <w:b/>
        </w:rPr>
        <w:t>13</w:t>
      </w:r>
      <w:r w:rsidRPr="00810360">
        <w:rPr>
          <w:rFonts w:eastAsia="楷体" w:hAnsi="楷体" w:hint="eastAsia"/>
          <w:b/>
        </w:rPr>
        <w:t>、地方政府一般债券</w:t>
      </w:r>
    </w:p>
    <w:p w:rsidR="00092775" w:rsidRDefault="00092775" w:rsidP="004254D1">
      <w:pPr>
        <w:ind w:firstLineChars="200" w:firstLine="640"/>
      </w:pPr>
      <w:r w:rsidRPr="00810360">
        <w:rPr>
          <w:rFonts w:hint="eastAsia"/>
        </w:rPr>
        <w:t>指省、自治区、直辖市政府为没有收益的公益性项目发行的、约定一定期限内主要以一般公共预算收入还本付息的政府债券。</w:t>
      </w:r>
    </w:p>
    <w:p w:rsidR="00092775" w:rsidRPr="00810360" w:rsidRDefault="00092775" w:rsidP="00CC536C">
      <w:r w:rsidRPr="00810360">
        <w:rPr>
          <w:rFonts w:hint="eastAsia"/>
        </w:rPr>
        <w:t>省以下地区由省级转贷，并由地</w:t>
      </w:r>
      <w:proofErr w:type="gramStart"/>
      <w:r w:rsidRPr="00810360">
        <w:rPr>
          <w:rFonts w:hint="eastAsia"/>
        </w:rPr>
        <w:t>方向省</w:t>
      </w:r>
      <w:proofErr w:type="gramEnd"/>
      <w:r w:rsidRPr="00810360">
        <w:rPr>
          <w:rFonts w:hint="eastAsia"/>
        </w:rPr>
        <w:t>还本付息。</w:t>
      </w:r>
    </w:p>
    <w:p w:rsidR="00092775" w:rsidRPr="00810360" w:rsidRDefault="00092775" w:rsidP="004254D1">
      <w:pPr>
        <w:ind w:firstLineChars="200" w:firstLine="643"/>
        <w:rPr>
          <w:rFonts w:eastAsia="楷体"/>
          <w:b/>
        </w:rPr>
      </w:pPr>
      <w:r w:rsidRPr="00810360">
        <w:rPr>
          <w:rFonts w:eastAsia="楷体"/>
          <w:b/>
        </w:rPr>
        <w:t>14</w:t>
      </w:r>
      <w:r w:rsidRPr="00810360">
        <w:rPr>
          <w:rFonts w:eastAsia="楷体" w:hAnsi="楷体" w:hint="eastAsia"/>
          <w:b/>
        </w:rPr>
        <w:t>、地方政府一般债券还本</w:t>
      </w:r>
    </w:p>
    <w:p w:rsidR="00092775" w:rsidRPr="00810360" w:rsidRDefault="00092775" w:rsidP="004254D1">
      <w:pPr>
        <w:ind w:firstLineChars="200" w:firstLine="640"/>
      </w:pPr>
      <w:r w:rsidRPr="00810360">
        <w:rPr>
          <w:rFonts w:hint="eastAsia"/>
        </w:rPr>
        <w:t>指地方政府用于归还一般债务本金所发生的支出，由于地方政府在收到一般债券的当年列入相关支出，为避免重复列支出，</w:t>
      </w:r>
      <w:r w:rsidRPr="00810360">
        <w:rPr>
          <w:rFonts w:hint="eastAsia"/>
        </w:rPr>
        <w:lastRenderedPageBreak/>
        <w:t>债券还本资金列入线下支出科目，由上级财政部门结算上划。</w:t>
      </w:r>
    </w:p>
    <w:p w:rsidR="00092775" w:rsidRPr="00810360" w:rsidRDefault="00092775" w:rsidP="004254D1">
      <w:pPr>
        <w:ind w:firstLineChars="200" w:firstLine="643"/>
        <w:rPr>
          <w:rFonts w:eastAsia="楷体"/>
          <w:b/>
        </w:rPr>
      </w:pPr>
      <w:r w:rsidRPr="00810360">
        <w:rPr>
          <w:rFonts w:eastAsia="楷体"/>
          <w:b/>
        </w:rPr>
        <w:t>15</w:t>
      </w:r>
      <w:r w:rsidRPr="00810360">
        <w:rPr>
          <w:rFonts w:eastAsia="楷体" w:hAnsi="楷体" w:hint="eastAsia"/>
          <w:b/>
        </w:rPr>
        <w:t>、地方政府专项债务</w:t>
      </w:r>
    </w:p>
    <w:p w:rsidR="00092775" w:rsidRPr="00810360" w:rsidRDefault="00092775" w:rsidP="004254D1">
      <w:pPr>
        <w:ind w:firstLineChars="200" w:firstLine="640"/>
      </w:pPr>
      <w:r w:rsidRPr="00810360">
        <w:rPr>
          <w:rFonts w:hint="eastAsia"/>
        </w:rPr>
        <w:t>指地方政府专项债券和清理甄别认定的截至</w:t>
      </w:r>
      <w:r w:rsidRPr="00810360">
        <w:t>2014</w:t>
      </w:r>
      <w:r w:rsidRPr="00810360">
        <w:rPr>
          <w:rFonts w:hint="eastAsia"/>
        </w:rPr>
        <w:t>年</w:t>
      </w:r>
      <w:r w:rsidRPr="00810360">
        <w:t>12</w:t>
      </w:r>
      <w:r w:rsidRPr="00810360">
        <w:rPr>
          <w:rFonts w:hint="eastAsia"/>
        </w:rPr>
        <w:t>月</w:t>
      </w:r>
      <w:r w:rsidRPr="00810360">
        <w:t>31</w:t>
      </w:r>
      <w:r w:rsidRPr="00810360">
        <w:rPr>
          <w:rFonts w:hint="eastAsia"/>
        </w:rPr>
        <w:t>日非地方政府债券形式的</w:t>
      </w:r>
      <w:proofErr w:type="gramStart"/>
      <w:r w:rsidRPr="00810360">
        <w:rPr>
          <w:rFonts w:hint="eastAsia"/>
        </w:rPr>
        <w:t>存量专项</w:t>
      </w:r>
      <w:proofErr w:type="gramEnd"/>
      <w:r w:rsidRPr="00810360">
        <w:rPr>
          <w:rFonts w:hint="eastAsia"/>
        </w:rPr>
        <w:t>债务。根据《中华人民共和国预算法》、《国务院关于加强地方政府性债务管理的意见》（国发〔</w:t>
      </w:r>
      <w:r w:rsidRPr="00810360">
        <w:t>2014</w:t>
      </w:r>
      <w:r w:rsidRPr="00810360">
        <w:rPr>
          <w:rFonts w:hint="eastAsia"/>
        </w:rPr>
        <w:t>〕</w:t>
      </w:r>
      <w:r w:rsidRPr="00810360">
        <w:t>43</w:t>
      </w:r>
      <w:r w:rsidRPr="00810360">
        <w:rPr>
          <w:rFonts w:hint="eastAsia"/>
        </w:rPr>
        <w:t>号）、《地方政府专项债务预算管理办法》规定，专项债务收入、安排的支出、还本付息、发行费用纳入政府性基金预算管理。</w:t>
      </w:r>
    </w:p>
    <w:p w:rsidR="00092775" w:rsidRPr="00810360" w:rsidRDefault="00092775" w:rsidP="004254D1">
      <w:pPr>
        <w:ind w:firstLineChars="200" w:firstLine="643"/>
        <w:rPr>
          <w:rFonts w:eastAsia="楷体"/>
          <w:b/>
        </w:rPr>
      </w:pPr>
      <w:r w:rsidRPr="00810360">
        <w:rPr>
          <w:rFonts w:eastAsia="楷体"/>
          <w:b/>
        </w:rPr>
        <w:t>16</w:t>
      </w:r>
      <w:r w:rsidRPr="00810360">
        <w:rPr>
          <w:rFonts w:eastAsia="楷体" w:hAnsi="楷体" w:hint="eastAsia"/>
          <w:b/>
        </w:rPr>
        <w:t>、预算绩效管理</w:t>
      </w:r>
    </w:p>
    <w:p w:rsidR="00092775" w:rsidRPr="00810360" w:rsidRDefault="00092775" w:rsidP="004254D1">
      <w:pPr>
        <w:ind w:firstLineChars="200" w:firstLine="640"/>
      </w:pPr>
      <w:r w:rsidRPr="00810360">
        <w:rPr>
          <w:rFonts w:hint="eastAsia"/>
        </w:rPr>
        <w:t>指预算资金所达到的产出和结果。预算绩效管理是政府绩效管理的重要组成部分，是一种以支出结果为导向的预算管理模式。它强化政府预算为民服务的理念，强调预算支出的责任和效率，要求在预算编制、执行、监督的全过程中更加关注预算资金的产出和结果，要求政府部门不断改进服务水平和质量，花尽量少的资金、办尽量多的实事，向社会公众提供更多、更好的公共产品和公共服务，使政府行为更加务实、高效。</w:t>
      </w:r>
    </w:p>
    <w:p w:rsidR="00092775" w:rsidRDefault="00092775" w:rsidP="004254D1">
      <w:pPr>
        <w:ind w:firstLineChars="200" w:firstLine="640"/>
      </w:pPr>
      <w:r w:rsidRPr="00810360">
        <w:rPr>
          <w:rFonts w:hint="eastAsia"/>
        </w:rPr>
        <w:t>预算绩效管理是一个由绩效目标管理、绩效运行跟踪监控管</w:t>
      </w:r>
    </w:p>
    <w:p w:rsidR="00092775" w:rsidRDefault="00092775" w:rsidP="00CC536C">
      <w:r w:rsidRPr="00810360">
        <w:rPr>
          <w:rFonts w:hint="eastAsia"/>
        </w:rPr>
        <w:t>理、绩效评价实施管理、绩效评价结果反馈和应用管理共同组成的综合系统。推进预算绩效管理，要将绩效理念融入预算管理全过程，使之与预算编制、预算执行、预算监督一起成为预算管理的有机组成部分，逐步建立</w:t>
      </w:r>
      <w:r w:rsidRPr="00810360">
        <w:t>“</w:t>
      </w:r>
      <w:r w:rsidRPr="00810360">
        <w:rPr>
          <w:rFonts w:hint="eastAsia"/>
        </w:rPr>
        <w:t>预算编制有目标、预算执行有监控、预算完成有评价、评价结果有反馈、反馈结果有应用</w:t>
      </w:r>
      <w:r w:rsidRPr="00810360">
        <w:t>”</w:t>
      </w:r>
      <w:r w:rsidRPr="00810360">
        <w:rPr>
          <w:rFonts w:hint="eastAsia"/>
        </w:rPr>
        <w:t>的预算绩效</w:t>
      </w:r>
      <w:r w:rsidRPr="00810360">
        <w:rPr>
          <w:rFonts w:hint="eastAsia"/>
        </w:rPr>
        <w:lastRenderedPageBreak/>
        <w:t>管理机制。</w:t>
      </w:r>
    </w:p>
    <w:p w:rsidR="00092775" w:rsidRDefault="00092775" w:rsidP="00CC536C"/>
    <w:p w:rsidR="00092775" w:rsidRDefault="00092775" w:rsidP="00CC536C"/>
    <w:p w:rsidR="00092775" w:rsidRDefault="00092775" w:rsidP="00CC536C"/>
    <w:p w:rsidR="00092775" w:rsidRDefault="00092775" w:rsidP="00CC536C"/>
    <w:p w:rsidR="00092775" w:rsidRDefault="00092775" w:rsidP="00CC536C"/>
    <w:p w:rsidR="00092775" w:rsidRDefault="00092775" w:rsidP="00CC536C"/>
    <w:p w:rsidR="00092775" w:rsidRDefault="00092775" w:rsidP="00CC536C"/>
    <w:p w:rsidR="00092775" w:rsidRDefault="00092775" w:rsidP="00CC536C"/>
    <w:p w:rsidR="00092775" w:rsidRDefault="00092775" w:rsidP="00CC536C"/>
    <w:p w:rsidR="00092775" w:rsidRDefault="00092775" w:rsidP="004254D1">
      <w:pPr>
        <w:ind w:firstLineChars="2850" w:firstLine="7980"/>
        <w:rPr>
          <w:sz w:val="28"/>
          <w:szCs w:val="28"/>
        </w:rPr>
      </w:pPr>
    </w:p>
    <w:p w:rsidR="00092775" w:rsidRDefault="00092775" w:rsidP="004254D1">
      <w:pPr>
        <w:ind w:firstLineChars="2850" w:firstLine="7980"/>
        <w:rPr>
          <w:sz w:val="28"/>
          <w:szCs w:val="28"/>
        </w:rPr>
      </w:pPr>
    </w:p>
    <w:p w:rsidR="00092775" w:rsidRDefault="00092775" w:rsidP="004254D1">
      <w:pPr>
        <w:ind w:firstLineChars="2850" w:firstLine="7980"/>
        <w:rPr>
          <w:sz w:val="28"/>
          <w:szCs w:val="28"/>
        </w:rPr>
      </w:pPr>
    </w:p>
    <w:p w:rsidR="00092775" w:rsidRDefault="00092775" w:rsidP="004254D1">
      <w:pPr>
        <w:ind w:firstLineChars="2850" w:firstLine="7980"/>
        <w:rPr>
          <w:sz w:val="28"/>
          <w:szCs w:val="28"/>
        </w:rPr>
      </w:pPr>
    </w:p>
    <w:p w:rsidR="00092775" w:rsidRDefault="00092775" w:rsidP="004254D1">
      <w:pPr>
        <w:ind w:firstLineChars="2850" w:firstLine="7980"/>
        <w:rPr>
          <w:sz w:val="28"/>
          <w:szCs w:val="28"/>
        </w:rPr>
      </w:pPr>
    </w:p>
    <w:p w:rsidR="00092775" w:rsidRDefault="00092775" w:rsidP="004254D1">
      <w:pPr>
        <w:ind w:firstLineChars="2850" w:firstLine="7980"/>
        <w:rPr>
          <w:sz w:val="28"/>
          <w:szCs w:val="28"/>
        </w:rPr>
      </w:pPr>
    </w:p>
    <w:p w:rsidR="00092775" w:rsidRPr="00810360" w:rsidRDefault="00092775" w:rsidP="004254D1">
      <w:pPr>
        <w:ind w:firstLineChars="100" w:firstLine="320"/>
      </w:pPr>
      <w:bookmarkStart w:id="0" w:name="_GoBack"/>
      <w:bookmarkEnd w:id="0"/>
    </w:p>
    <w:sectPr w:rsidR="00092775" w:rsidRPr="00810360" w:rsidSect="001644BB">
      <w:footerReference w:type="even" r:id="rId8"/>
      <w:pgSz w:w="11906" w:h="16838" w:code="9"/>
      <w:pgMar w:top="1418" w:right="1418" w:bottom="1418" w:left="1418" w:header="851" w:footer="992" w:gutter="0"/>
      <w:cols w:space="425"/>
      <w:docGrid w:type="lines" w:linePitch="6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775" w:rsidRDefault="00092775" w:rsidP="00356240">
      <w:r>
        <w:separator/>
      </w:r>
    </w:p>
  </w:endnote>
  <w:endnote w:type="continuationSeparator" w:id="0">
    <w:p w:rsidR="00092775" w:rsidRDefault="00092775" w:rsidP="0035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方正大标宋简体">
    <w:altName w:val="Arial Unicode MS"/>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775" w:rsidRDefault="00092775" w:rsidP="004B5548">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92775" w:rsidRDefault="0009277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775" w:rsidRDefault="00092775" w:rsidP="00356240">
      <w:r>
        <w:separator/>
      </w:r>
    </w:p>
  </w:footnote>
  <w:footnote w:type="continuationSeparator" w:id="0">
    <w:p w:rsidR="00092775" w:rsidRDefault="00092775" w:rsidP="003562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91AB9"/>
    <w:multiLevelType w:val="hybridMultilevel"/>
    <w:tmpl w:val="22E4FFF4"/>
    <w:lvl w:ilvl="0" w:tplc="D960ECFC">
      <w:start w:val="1"/>
      <w:numFmt w:val="decimal"/>
      <w:lvlText w:val="%1、"/>
      <w:lvlJc w:val="left"/>
      <w:pPr>
        <w:ind w:left="360" w:hanging="360"/>
      </w:pPr>
      <w:rPr>
        <w:rFonts w:ascii="Times New Roman" w:hAnsi="Times New Roman" w:cs="Times New Roman" w:hint="default"/>
        <w:color w:val="auto"/>
        <w:sz w:val="21"/>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5EFE07C1"/>
    <w:multiLevelType w:val="hybridMultilevel"/>
    <w:tmpl w:val="9E9E88AA"/>
    <w:lvl w:ilvl="0" w:tplc="141CC3A8">
      <w:start w:val="1"/>
      <w:numFmt w:val="decimalEnclosedCircle"/>
      <w:lvlText w:val="%1"/>
      <w:lvlJc w:val="left"/>
      <w:pPr>
        <w:ind w:left="1360" w:hanging="360"/>
      </w:pPr>
      <w:rPr>
        <w:rFonts w:cs="Times New Roman" w:hint="default"/>
      </w:rPr>
    </w:lvl>
    <w:lvl w:ilvl="1" w:tplc="04090019" w:tentative="1">
      <w:start w:val="1"/>
      <w:numFmt w:val="lowerLetter"/>
      <w:lvlText w:val="%2)"/>
      <w:lvlJc w:val="left"/>
      <w:pPr>
        <w:ind w:left="1840" w:hanging="420"/>
      </w:pPr>
      <w:rPr>
        <w:rFonts w:cs="Times New Roman"/>
      </w:rPr>
    </w:lvl>
    <w:lvl w:ilvl="2" w:tplc="0409001B" w:tentative="1">
      <w:start w:val="1"/>
      <w:numFmt w:val="lowerRoman"/>
      <w:lvlText w:val="%3."/>
      <w:lvlJc w:val="right"/>
      <w:pPr>
        <w:ind w:left="2260" w:hanging="420"/>
      </w:pPr>
      <w:rPr>
        <w:rFonts w:cs="Times New Roman"/>
      </w:rPr>
    </w:lvl>
    <w:lvl w:ilvl="3" w:tplc="0409000F" w:tentative="1">
      <w:start w:val="1"/>
      <w:numFmt w:val="decimal"/>
      <w:lvlText w:val="%4."/>
      <w:lvlJc w:val="left"/>
      <w:pPr>
        <w:ind w:left="2680" w:hanging="420"/>
      </w:pPr>
      <w:rPr>
        <w:rFonts w:cs="Times New Roman"/>
      </w:rPr>
    </w:lvl>
    <w:lvl w:ilvl="4" w:tplc="04090019" w:tentative="1">
      <w:start w:val="1"/>
      <w:numFmt w:val="lowerLetter"/>
      <w:lvlText w:val="%5)"/>
      <w:lvlJc w:val="left"/>
      <w:pPr>
        <w:ind w:left="3100" w:hanging="420"/>
      </w:pPr>
      <w:rPr>
        <w:rFonts w:cs="Times New Roman"/>
      </w:rPr>
    </w:lvl>
    <w:lvl w:ilvl="5" w:tplc="0409001B" w:tentative="1">
      <w:start w:val="1"/>
      <w:numFmt w:val="lowerRoman"/>
      <w:lvlText w:val="%6."/>
      <w:lvlJc w:val="right"/>
      <w:pPr>
        <w:ind w:left="3520" w:hanging="420"/>
      </w:pPr>
      <w:rPr>
        <w:rFonts w:cs="Times New Roman"/>
      </w:rPr>
    </w:lvl>
    <w:lvl w:ilvl="6" w:tplc="0409000F" w:tentative="1">
      <w:start w:val="1"/>
      <w:numFmt w:val="decimal"/>
      <w:lvlText w:val="%7."/>
      <w:lvlJc w:val="left"/>
      <w:pPr>
        <w:ind w:left="3940" w:hanging="420"/>
      </w:pPr>
      <w:rPr>
        <w:rFonts w:cs="Times New Roman"/>
      </w:rPr>
    </w:lvl>
    <w:lvl w:ilvl="7" w:tplc="04090019" w:tentative="1">
      <w:start w:val="1"/>
      <w:numFmt w:val="lowerLetter"/>
      <w:lvlText w:val="%8)"/>
      <w:lvlJc w:val="left"/>
      <w:pPr>
        <w:ind w:left="4360" w:hanging="420"/>
      </w:pPr>
      <w:rPr>
        <w:rFonts w:cs="Times New Roman"/>
      </w:rPr>
    </w:lvl>
    <w:lvl w:ilvl="8" w:tplc="0409001B" w:tentative="1">
      <w:start w:val="1"/>
      <w:numFmt w:val="lowerRoman"/>
      <w:lvlText w:val="%9."/>
      <w:lvlJc w:val="right"/>
      <w:pPr>
        <w:ind w:left="4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18"/>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10C"/>
    <w:rsid w:val="0004146D"/>
    <w:rsid w:val="00060C43"/>
    <w:rsid w:val="00072B6D"/>
    <w:rsid w:val="00092775"/>
    <w:rsid w:val="000C1515"/>
    <w:rsid w:val="000E4A83"/>
    <w:rsid w:val="0016046F"/>
    <w:rsid w:val="001644BB"/>
    <w:rsid w:val="00250C6A"/>
    <w:rsid w:val="00271FD6"/>
    <w:rsid w:val="00277DE8"/>
    <w:rsid w:val="00287CE9"/>
    <w:rsid w:val="00296508"/>
    <w:rsid w:val="00356240"/>
    <w:rsid w:val="003646A3"/>
    <w:rsid w:val="004254D1"/>
    <w:rsid w:val="004B5548"/>
    <w:rsid w:val="005A3EAE"/>
    <w:rsid w:val="005D0060"/>
    <w:rsid w:val="005F00A8"/>
    <w:rsid w:val="00660711"/>
    <w:rsid w:val="006866A6"/>
    <w:rsid w:val="006B4429"/>
    <w:rsid w:val="006C55A6"/>
    <w:rsid w:val="006D17CB"/>
    <w:rsid w:val="00707B42"/>
    <w:rsid w:val="00752BB0"/>
    <w:rsid w:val="00810360"/>
    <w:rsid w:val="00827DF1"/>
    <w:rsid w:val="0088645A"/>
    <w:rsid w:val="00890C7A"/>
    <w:rsid w:val="008933D7"/>
    <w:rsid w:val="00906C40"/>
    <w:rsid w:val="00914698"/>
    <w:rsid w:val="00A01024"/>
    <w:rsid w:val="00A05599"/>
    <w:rsid w:val="00A40EF2"/>
    <w:rsid w:val="00A653A5"/>
    <w:rsid w:val="00A9385D"/>
    <w:rsid w:val="00AD410C"/>
    <w:rsid w:val="00AE613A"/>
    <w:rsid w:val="00B31B14"/>
    <w:rsid w:val="00B33CBC"/>
    <w:rsid w:val="00BC639F"/>
    <w:rsid w:val="00BD22DE"/>
    <w:rsid w:val="00C36812"/>
    <w:rsid w:val="00C52FCD"/>
    <w:rsid w:val="00CC536C"/>
    <w:rsid w:val="00CD27E6"/>
    <w:rsid w:val="00D34829"/>
    <w:rsid w:val="00D40281"/>
    <w:rsid w:val="00D41A13"/>
    <w:rsid w:val="00D64B0F"/>
    <w:rsid w:val="00E03B12"/>
    <w:rsid w:val="00E16B5F"/>
    <w:rsid w:val="00E371EF"/>
    <w:rsid w:val="00E52330"/>
    <w:rsid w:val="00E56B51"/>
    <w:rsid w:val="00ED2CD8"/>
    <w:rsid w:val="00F044DF"/>
    <w:rsid w:val="00F45199"/>
    <w:rsid w:val="00F64893"/>
    <w:rsid w:val="00F95D64"/>
    <w:rsid w:val="00FA4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4BB"/>
    <w:pPr>
      <w:widowControl w:val="0"/>
      <w:jc w:val="both"/>
    </w:pPr>
    <w:rPr>
      <w:rFonts w:eastAsia="仿宋_GB231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562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356240"/>
    <w:rPr>
      <w:rFonts w:cs="Times New Roman"/>
      <w:kern w:val="2"/>
      <w:sz w:val="18"/>
      <w:szCs w:val="18"/>
    </w:rPr>
  </w:style>
  <w:style w:type="paragraph" w:styleId="a4">
    <w:name w:val="footer"/>
    <w:basedOn w:val="a"/>
    <w:link w:val="Char0"/>
    <w:uiPriority w:val="99"/>
    <w:rsid w:val="00356240"/>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356240"/>
    <w:rPr>
      <w:rFonts w:cs="Times New Roman"/>
      <w:kern w:val="2"/>
      <w:sz w:val="18"/>
      <w:szCs w:val="18"/>
    </w:rPr>
  </w:style>
  <w:style w:type="character" w:styleId="a5">
    <w:name w:val="Hyperlink"/>
    <w:basedOn w:val="a0"/>
    <w:uiPriority w:val="99"/>
    <w:rsid w:val="00356240"/>
    <w:rPr>
      <w:rFonts w:cs="Times New Roman"/>
      <w:color w:val="0063C8"/>
      <w:u w:val="none"/>
      <w:effect w:val="none"/>
    </w:rPr>
  </w:style>
  <w:style w:type="paragraph" w:styleId="a6">
    <w:name w:val="List Paragraph"/>
    <w:basedOn w:val="a"/>
    <w:uiPriority w:val="99"/>
    <w:qFormat/>
    <w:rsid w:val="00356240"/>
    <w:pPr>
      <w:ind w:firstLineChars="200" w:firstLine="420"/>
    </w:pPr>
  </w:style>
  <w:style w:type="character" w:styleId="a7">
    <w:name w:val="Strong"/>
    <w:basedOn w:val="a0"/>
    <w:uiPriority w:val="99"/>
    <w:qFormat/>
    <w:rsid w:val="00A40EF2"/>
    <w:rPr>
      <w:rFonts w:cs="Times New Roman"/>
      <w:b/>
      <w:bCs/>
    </w:rPr>
  </w:style>
  <w:style w:type="character" w:styleId="a8">
    <w:name w:val="page number"/>
    <w:basedOn w:val="a0"/>
    <w:uiPriority w:val="99"/>
    <w:rsid w:val="00AE613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8</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cp:lastPrinted>2017-09-18T08:27:00Z</cp:lastPrinted>
  <dcterms:created xsi:type="dcterms:W3CDTF">2017-09-18T03:38:00Z</dcterms:created>
  <dcterms:modified xsi:type="dcterms:W3CDTF">2017-09-28T09:08:00Z</dcterms:modified>
</cp:coreProperties>
</file>