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仿宋" w:hAnsi="仿宋" w:eastAsia="仿宋" w:cs="Times New Roman"/>
          <w:sz w:val="30"/>
          <w:szCs w:val="30"/>
        </w:rPr>
      </w:pPr>
    </w:p>
    <w:p>
      <w:pPr>
        <w:spacing w:line="240" w:lineRule="auto"/>
        <w:ind w:firstLine="720" w:firstLineChars="200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2</w:t>
      </w:r>
      <w:r>
        <w:rPr>
          <w:rFonts w:ascii="黑体" w:hAnsi="黑体" w:eastAsia="黑体"/>
          <w:bCs/>
          <w:sz w:val="36"/>
          <w:szCs w:val="36"/>
        </w:rPr>
        <w:t>020</w:t>
      </w:r>
      <w:r>
        <w:rPr>
          <w:rFonts w:hint="eastAsia" w:ascii="黑体" w:hAnsi="黑体" w:eastAsia="黑体"/>
          <w:bCs/>
          <w:sz w:val="36"/>
          <w:szCs w:val="36"/>
        </w:rPr>
        <w:t>年</w:t>
      </w:r>
      <w:r>
        <w:rPr>
          <w:rFonts w:ascii="黑体" w:hAnsi="黑体" w:eastAsia="黑体"/>
          <w:bCs/>
          <w:sz w:val="36"/>
          <w:szCs w:val="36"/>
        </w:rPr>
        <w:t>地方政府</w:t>
      </w:r>
      <w:r>
        <w:rPr>
          <w:rFonts w:hint="eastAsia" w:ascii="黑体" w:hAnsi="黑体" w:eastAsia="黑体"/>
          <w:bCs/>
          <w:sz w:val="36"/>
          <w:szCs w:val="36"/>
        </w:rPr>
        <w:t>债务预算公开情况说明</w:t>
      </w:r>
    </w:p>
    <w:p>
      <w:pPr>
        <w:spacing w:line="24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</w:p>
    <w:p>
      <w:pPr>
        <w:spacing w:line="24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一</w:t>
      </w:r>
      <w:r>
        <w:rPr>
          <w:rFonts w:ascii="黑体" w:hAnsi="黑体" w:eastAsia="黑体" w:cs="Times New Roman"/>
          <w:sz w:val="30"/>
          <w:szCs w:val="30"/>
        </w:rPr>
        <w:t>、</w:t>
      </w:r>
      <w:r>
        <w:rPr>
          <w:rFonts w:hint="eastAsia" w:ascii="黑体" w:hAnsi="黑体" w:eastAsia="黑体" w:cs="Times New Roman"/>
          <w:sz w:val="30"/>
          <w:szCs w:val="30"/>
        </w:rPr>
        <w:t>上一年度全市政府性债务限额</w:t>
      </w:r>
      <w:r>
        <w:rPr>
          <w:rFonts w:ascii="黑体" w:hAnsi="黑体" w:eastAsia="黑体" w:cs="Times New Roman"/>
          <w:sz w:val="30"/>
          <w:szCs w:val="30"/>
        </w:rPr>
        <w:t>和余额</w:t>
      </w:r>
      <w:r>
        <w:rPr>
          <w:rFonts w:hint="eastAsia" w:ascii="黑体" w:hAnsi="黑体" w:eastAsia="黑体" w:cs="Times New Roman"/>
          <w:sz w:val="30"/>
          <w:szCs w:val="30"/>
        </w:rPr>
        <w:t>情况</w:t>
      </w:r>
    </w:p>
    <w:p>
      <w:pPr>
        <w:spacing w:line="240" w:lineRule="auto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省财政核定随州市201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</w:rPr>
        <w:t>年政府性债务限额1417445万元（其中：一般债务限额912174万元、专项债务限额505271万元）。其中市本级政府债务限额为421353万元（其中:一般债务限额208531万元、专项债务限额212822万元）；</w:t>
      </w:r>
      <w:r>
        <w:rPr>
          <w:rFonts w:ascii="仿宋" w:hAnsi="仿宋" w:eastAsia="仿宋" w:cs="Times New Roman"/>
          <w:sz w:val="30"/>
          <w:szCs w:val="30"/>
        </w:rPr>
        <w:t>县区市政府债务限额996092</w:t>
      </w:r>
      <w:r>
        <w:rPr>
          <w:rFonts w:hint="eastAsia" w:ascii="仿宋" w:hAnsi="仿宋" w:eastAsia="仿宋" w:cs="Times New Roman"/>
          <w:sz w:val="30"/>
          <w:szCs w:val="30"/>
        </w:rPr>
        <w:t>万元（其中:一般债务限额</w:t>
      </w:r>
      <w:r>
        <w:rPr>
          <w:rFonts w:ascii="仿宋" w:hAnsi="仿宋" w:eastAsia="仿宋" w:cs="Times New Roman"/>
          <w:sz w:val="30"/>
          <w:szCs w:val="30"/>
        </w:rPr>
        <w:t>703643</w:t>
      </w:r>
      <w:r>
        <w:rPr>
          <w:rFonts w:hint="eastAsia" w:ascii="仿宋" w:hAnsi="仿宋" w:eastAsia="仿宋" w:cs="Times New Roman"/>
          <w:sz w:val="30"/>
          <w:szCs w:val="30"/>
        </w:rPr>
        <w:t>万元、专项债务限额</w:t>
      </w:r>
      <w:r>
        <w:rPr>
          <w:rFonts w:ascii="仿宋" w:hAnsi="仿宋" w:eastAsia="仿宋" w:cs="Times New Roman"/>
          <w:sz w:val="30"/>
          <w:szCs w:val="30"/>
        </w:rPr>
        <w:t>292449</w:t>
      </w:r>
      <w:r>
        <w:rPr>
          <w:rFonts w:hint="eastAsia" w:ascii="仿宋" w:hAnsi="仿宋" w:eastAsia="仿宋" w:cs="Times New Roman"/>
          <w:sz w:val="30"/>
          <w:szCs w:val="30"/>
        </w:rPr>
        <w:t>万元）。</w:t>
      </w:r>
    </w:p>
    <w:p>
      <w:pPr>
        <w:spacing w:line="24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截至2019年底，全市政府债务余额1278937万元（其中:一般债务余额792973万元、专项债务余额485964万元）。其中市本级债务余额357674万元（其中：一般债务余额167339万元、专项债务余额190335万元）；县市区债务余额</w:t>
      </w:r>
      <w:r>
        <w:rPr>
          <w:rFonts w:ascii="仿宋" w:hAnsi="仿宋" w:eastAsia="仿宋" w:cs="Times New Roman"/>
          <w:sz w:val="30"/>
          <w:szCs w:val="30"/>
        </w:rPr>
        <w:t>921263</w:t>
      </w:r>
      <w:r>
        <w:rPr>
          <w:rFonts w:hint="eastAsia" w:ascii="仿宋" w:hAnsi="仿宋" w:eastAsia="仿宋" w:cs="Times New Roman"/>
          <w:sz w:val="30"/>
          <w:szCs w:val="30"/>
        </w:rPr>
        <w:t>万元（其中：一般债务余额</w:t>
      </w:r>
      <w:r>
        <w:rPr>
          <w:rFonts w:ascii="仿宋" w:hAnsi="仿宋" w:eastAsia="仿宋" w:cs="Times New Roman"/>
          <w:sz w:val="30"/>
          <w:szCs w:val="30"/>
        </w:rPr>
        <w:t>625634</w:t>
      </w:r>
      <w:r>
        <w:rPr>
          <w:rFonts w:hint="eastAsia" w:ascii="仿宋" w:hAnsi="仿宋" w:eastAsia="仿宋" w:cs="Times New Roman"/>
          <w:sz w:val="30"/>
          <w:szCs w:val="30"/>
        </w:rPr>
        <w:t>万元、专项债务余额</w:t>
      </w:r>
      <w:r>
        <w:rPr>
          <w:rFonts w:ascii="仿宋" w:hAnsi="仿宋" w:eastAsia="仿宋" w:cs="Times New Roman"/>
          <w:sz w:val="30"/>
          <w:szCs w:val="30"/>
        </w:rPr>
        <w:t>295629</w:t>
      </w:r>
      <w:r>
        <w:rPr>
          <w:rFonts w:hint="eastAsia" w:ascii="仿宋" w:hAnsi="仿宋" w:eastAsia="仿宋" w:cs="Times New Roman"/>
          <w:sz w:val="30"/>
          <w:szCs w:val="30"/>
        </w:rPr>
        <w:t>万元）。</w:t>
      </w:r>
    </w:p>
    <w:p>
      <w:pPr>
        <w:spacing w:line="240" w:lineRule="auto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二</w:t>
      </w:r>
      <w:r>
        <w:rPr>
          <w:rFonts w:ascii="黑体" w:hAnsi="黑体" w:eastAsia="黑体" w:cs="Times New Roman"/>
          <w:sz w:val="30"/>
          <w:szCs w:val="30"/>
        </w:rPr>
        <w:t>、</w:t>
      </w:r>
      <w:r>
        <w:rPr>
          <w:rFonts w:hint="eastAsia" w:ascii="黑体" w:hAnsi="黑体" w:eastAsia="黑体" w:cs="Times New Roman"/>
          <w:sz w:val="30"/>
          <w:szCs w:val="30"/>
        </w:rPr>
        <w:t>上一年度全市政府债券</w:t>
      </w:r>
      <w:r>
        <w:rPr>
          <w:rFonts w:ascii="黑体" w:hAnsi="黑体" w:eastAsia="黑体" w:cs="Times New Roman"/>
          <w:sz w:val="30"/>
          <w:szCs w:val="30"/>
        </w:rPr>
        <w:t>还本付息</w:t>
      </w:r>
      <w:r>
        <w:rPr>
          <w:rFonts w:hint="eastAsia" w:ascii="黑体" w:hAnsi="黑体" w:eastAsia="黑体" w:cs="Times New Roman"/>
          <w:sz w:val="30"/>
          <w:szCs w:val="30"/>
        </w:rPr>
        <w:t>情况</w:t>
      </w:r>
    </w:p>
    <w:p>
      <w:pPr>
        <w:spacing w:line="240" w:lineRule="auto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201</w:t>
      </w:r>
      <w:r>
        <w:rPr>
          <w:rFonts w:ascii="仿宋" w:hAnsi="仿宋" w:eastAsia="仿宋" w:cs="Times New Roman"/>
          <w:sz w:val="30"/>
          <w:szCs w:val="30"/>
        </w:rPr>
        <w:t>9</w:t>
      </w:r>
      <w:r>
        <w:rPr>
          <w:rFonts w:hint="eastAsia" w:ascii="仿宋" w:hAnsi="仿宋" w:eastAsia="仿宋" w:cs="Times New Roman"/>
          <w:sz w:val="30"/>
          <w:szCs w:val="30"/>
        </w:rPr>
        <w:t>年，</w:t>
      </w:r>
      <w:r>
        <w:rPr>
          <w:rFonts w:ascii="仿宋" w:hAnsi="仿宋" w:eastAsia="仿宋" w:cs="Times New Roman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随州市政府性债务共还本付息152901万元（含再融资债券），其中，市本级32354万元，县市区120547万元。全市一般债务还本付息</w:t>
      </w:r>
      <w:r>
        <w:rPr>
          <w:rFonts w:ascii="仿宋" w:hAnsi="仿宋" w:eastAsia="仿宋" w:cs="Times New Roman"/>
          <w:sz w:val="30"/>
          <w:szCs w:val="30"/>
        </w:rPr>
        <w:t>136681</w:t>
      </w:r>
      <w:r>
        <w:rPr>
          <w:rFonts w:hint="eastAsia" w:ascii="仿宋" w:hAnsi="仿宋" w:eastAsia="仿宋" w:cs="Times New Roman"/>
          <w:sz w:val="30"/>
          <w:szCs w:val="30"/>
        </w:rPr>
        <w:t>万元，其中：市本级</w:t>
      </w:r>
      <w:r>
        <w:rPr>
          <w:rFonts w:ascii="仿宋" w:hAnsi="仿宋" w:eastAsia="仿宋" w:cs="Times New Roman"/>
          <w:sz w:val="30"/>
          <w:szCs w:val="30"/>
        </w:rPr>
        <w:t>26543</w:t>
      </w:r>
      <w:r>
        <w:rPr>
          <w:rFonts w:hint="eastAsia" w:ascii="仿宋" w:hAnsi="仿宋" w:eastAsia="仿宋" w:cs="Times New Roman"/>
          <w:sz w:val="30"/>
          <w:szCs w:val="30"/>
        </w:rPr>
        <w:t>万元，县市区</w:t>
      </w:r>
      <w:r>
        <w:rPr>
          <w:rFonts w:ascii="仿宋" w:hAnsi="仿宋" w:eastAsia="仿宋" w:cs="Times New Roman"/>
          <w:sz w:val="30"/>
          <w:szCs w:val="30"/>
        </w:rPr>
        <w:t>110138</w:t>
      </w:r>
      <w:r>
        <w:rPr>
          <w:rFonts w:hint="eastAsia" w:ascii="仿宋" w:hAnsi="仿宋" w:eastAsia="仿宋" w:cs="Times New Roman"/>
          <w:sz w:val="30"/>
          <w:szCs w:val="30"/>
        </w:rPr>
        <w:t>万元。全市专项债务还本付息</w:t>
      </w:r>
      <w:r>
        <w:rPr>
          <w:rFonts w:ascii="仿宋" w:hAnsi="仿宋" w:eastAsia="仿宋" w:cs="Times New Roman"/>
          <w:sz w:val="30"/>
          <w:szCs w:val="30"/>
        </w:rPr>
        <w:t>16220</w:t>
      </w:r>
      <w:r>
        <w:rPr>
          <w:rFonts w:hint="eastAsia" w:ascii="仿宋" w:hAnsi="仿宋" w:eastAsia="仿宋" w:cs="Times New Roman"/>
          <w:sz w:val="30"/>
          <w:szCs w:val="30"/>
        </w:rPr>
        <w:t>万元，其中：市本级</w:t>
      </w:r>
      <w:r>
        <w:rPr>
          <w:rFonts w:ascii="仿宋" w:hAnsi="仿宋" w:eastAsia="仿宋" w:cs="Times New Roman"/>
          <w:sz w:val="30"/>
          <w:szCs w:val="30"/>
        </w:rPr>
        <w:t>5811</w:t>
      </w:r>
      <w:r>
        <w:rPr>
          <w:rFonts w:hint="eastAsia" w:ascii="仿宋" w:hAnsi="仿宋" w:eastAsia="仿宋" w:cs="Times New Roman"/>
          <w:sz w:val="30"/>
          <w:szCs w:val="30"/>
        </w:rPr>
        <w:t>万元，县市区</w:t>
      </w:r>
      <w:r>
        <w:rPr>
          <w:rFonts w:ascii="仿宋" w:hAnsi="仿宋" w:eastAsia="仿宋" w:cs="Times New Roman"/>
          <w:sz w:val="30"/>
          <w:szCs w:val="30"/>
        </w:rPr>
        <w:t>10409</w:t>
      </w:r>
      <w:r>
        <w:rPr>
          <w:rFonts w:hint="eastAsia" w:ascii="仿宋" w:hAnsi="仿宋" w:eastAsia="仿宋" w:cs="Times New Roman"/>
          <w:sz w:val="30"/>
          <w:szCs w:val="30"/>
        </w:rPr>
        <w:t>万元。</w:t>
      </w:r>
    </w:p>
    <w:p>
      <w:pPr>
        <w:spacing w:line="240" w:lineRule="auto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三</w:t>
      </w:r>
      <w:r>
        <w:rPr>
          <w:rFonts w:ascii="黑体" w:hAnsi="黑体" w:eastAsia="黑体" w:cs="Times New Roman"/>
          <w:sz w:val="30"/>
          <w:szCs w:val="30"/>
        </w:rPr>
        <w:t>、</w:t>
      </w:r>
      <w:r>
        <w:rPr>
          <w:rFonts w:hint="eastAsia" w:ascii="黑体" w:hAnsi="黑体" w:eastAsia="黑体" w:cs="Times New Roman"/>
          <w:sz w:val="30"/>
          <w:szCs w:val="30"/>
        </w:rPr>
        <w:t>本年度全市政府债券</w:t>
      </w:r>
      <w:r>
        <w:rPr>
          <w:rFonts w:ascii="黑体" w:hAnsi="黑体" w:eastAsia="黑体" w:cs="Times New Roman"/>
          <w:sz w:val="30"/>
          <w:szCs w:val="30"/>
        </w:rPr>
        <w:t>还本付息</w:t>
      </w:r>
      <w:r>
        <w:rPr>
          <w:rFonts w:hint="eastAsia" w:ascii="黑体" w:hAnsi="黑体" w:eastAsia="黑体" w:cs="Times New Roman"/>
          <w:sz w:val="30"/>
          <w:szCs w:val="30"/>
        </w:rPr>
        <w:t>预算情况</w:t>
      </w:r>
    </w:p>
    <w:p>
      <w:pPr>
        <w:spacing w:line="240" w:lineRule="auto"/>
        <w:ind w:firstLine="600" w:firstLineChars="200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年，随州市共安排政府性债务还本付息预算</w:t>
      </w:r>
      <w:r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27.65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亿元，其中，市本级</w:t>
      </w:r>
      <w:r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7.75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亿元，县市区</w:t>
      </w:r>
      <w:r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19.9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亿元。全市一般债务还本付息</w:t>
      </w:r>
      <w:r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18.86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亿元，其中：市本级</w:t>
      </w:r>
      <w:r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3.41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亿元，县市区</w:t>
      </w:r>
      <w:r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15.45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亿元。全市专项债务还本付息</w:t>
      </w:r>
      <w:r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8.79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亿元，其中：市本级</w:t>
      </w:r>
      <w:r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4.34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亿元，县市区</w:t>
      </w:r>
      <w:r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4.45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亿元。</w:t>
      </w:r>
    </w:p>
    <w:p>
      <w:pPr>
        <w:spacing w:line="240" w:lineRule="auto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四</w:t>
      </w:r>
      <w:r>
        <w:rPr>
          <w:rFonts w:ascii="黑体" w:hAnsi="黑体" w:eastAsia="黑体" w:cs="Times New Roman"/>
          <w:sz w:val="30"/>
          <w:szCs w:val="30"/>
        </w:rPr>
        <w:t>、</w:t>
      </w:r>
      <w:r>
        <w:rPr>
          <w:rFonts w:hint="eastAsia" w:ascii="黑体" w:hAnsi="黑体" w:eastAsia="黑体" w:cs="Times New Roman"/>
          <w:sz w:val="30"/>
          <w:szCs w:val="30"/>
        </w:rPr>
        <w:t>本年度全市政府债券安排情况</w:t>
      </w:r>
    </w:p>
    <w:p>
      <w:pPr>
        <w:spacing w:line="24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债券资金主要围绕“补短板”三年行动计划、生态修复等重大工程和公路、棚户区改造、土地储备等关系全市发展大局的重点项目建设安排使用。</w:t>
      </w:r>
    </w:p>
    <w:p>
      <w:pPr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26"/>
    <w:rsid w:val="00127FBE"/>
    <w:rsid w:val="004A3686"/>
    <w:rsid w:val="00816142"/>
    <w:rsid w:val="009F5419"/>
    <w:rsid w:val="00C47D1E"/>
    <w:rsid w:val="00D446D0"/>
    <w:rsid w:val="00F10026"/>
    <w:rsid w:val="3ACC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671</Characters>
  <Lines>5</Lines>
  <Paragraphs>1</Paragraphs>
  <TotalTime>54</TotalTime>
  <ScaleCrop>false</ScaleCrop>
  <LinksUpToDate>false</LinksUpToDate>
  <CharactersWithSpaces>787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2021-05-22T04:36:00Z</dcterms:created>
  <dc:creator>Windows 用户</dc:creator>
  <cp:lastModifiedBy>一路有你</cp:lastModifiedBy>
  <dcterms:modified xsi:type="dcterms:W3CDTF">2021-05-27T03:51:22Z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BCEC7C30FC1C43F29BED96F588C04E19</vt:lpwstr>
  </property>
</Properties>
</file>