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keepNext w:val="false"/>
        <w:keepLines w:val="false"/>
        <w:pageBreakBefore w:val="false"/>
        <w:pBdr/>
        <w:spacing w:line="640" w:lineRule="exact"/>
        <w:ind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2018年度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随州市人大常委会办公室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/>
        <w:jc w:val="center"/>
        <w:outlineLvl w:val="9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报告</w:t>
      </w:r>
      <w:r>
        <w:rPr>
          <w:rFonts w:hint="eastAsia" w:ascii="新宋体" w:hAnsi="新宋体" w:eastAsia="新宋体"/>
          <w:sz w:val="32"/>
          <w:szCs w:val="32"/>
        </w:rPr>
      </w:r>
      <w:r>
        <w:rPr>
          <w:rFonts w:hint="eastAsia" w:ascii="新宋体" w:hAnsi="新宋体" w:eastAsia="新宋体"/>
          <w:sz w:val="32"/>
          <w:szCs w:val="32"/>
        </w:rPr>
      </w:r>
    </w:p>
    <w:p>
      <w:pPr>
        <w:pStyle w:val="616"/>
        <w:pBdr/>
        <w:spacing w:line="7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7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根据随财发〔201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号市财政局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开展2018年度市级财政支出绩效自评工作的通知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和财政部门关于预算绩效评价的有关要求，现将我单位部门整体支出绩效评价情况报告如下：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一、单位概况</w:t>
      </w:r>
      <w:r>
        <w:rPr>
          <w:rFonts w:hint="eastAsia" w:ascii="黑体" w:hAnsi="黑体" w:eastAsia="黑体" w:cs="黑体"/>
          <w:sz w:val="32"/>
          <w:szCs w:val="32"/>
          <w:lang w:val="en-US"/>
        </w:rPr>
      </w:r>
      <w:r>
        <w:rPr>
          <w:rFonts w:hint="eastAsia" w:ascii="黑体" w:hAnsi="黑体" w:eastAsia="黑体" w:cs="黑体"/>
          <w:sz w:val="32"/>
          <w:szCs w:val="32"/>
          <w:lang w:val="en-US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服务和保障随州市人大及其常委会依法履行职责，随州市人民代表大会下设法制委员会、财政经济委员会、教育科学文化卫生委员会、城乡建设与环境资源保护委员会，随州市人民代表大会常务委员会下设办公室（研究室）和代表选举和人事任免工作委员会、内务司法工作委员会、农村工作委员会、预算工作委员会、法制工作委员会等10个正处级机构。办公室内设秘书科、综合科、老干部科、机关事务科、政工人事科、立法科、备案审查科、信访办公室。行政干部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，行政工人2人，聘用人员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人，离休2人，退休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 w:clear="all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二、整体支出基本情况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34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before="0" w:beforeAutospacing="0"/>
        <w:ind w:right="0" w:firstLine="360" w:lef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2018年我单位支出预算为1090.37万元，调整预算为1319.93万元，其中一般公共服务支出952.48万元，社会保险和就业支出105.29万元，医疗卫生与计划生育支出40.94万元，住房保障支出65.99万元。2018年我单位支出1319.93万元，其中一般公共服务支出1120.75万元，社会保险和就业支出47.78万元，医疗卫生与计划生育支出83.4万元，住房保障支出67.99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三、项目支出情况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人大专项工作经费预算55万，实际支出55万。主要用于主要用于人大公报经费、离退休经费、工作评议及议案办理经费、环保世纪行、农产品质量安全荆楚行、规范性文件备案审查、预算审查监督咨询及绩效管理等。该项目执行率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2、立法工作经费5万元，实际支出5万元。主要用于地方立法工作各项支出。该项目执行率达到100%。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3、例会经费12万元，实际支出12万元。用于每年召开常委会及列席省人大常委会相关保障费用。该项目执行率达到100%。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4、专委会经费38万，实际支出38万。用于8个专（工）委会工作费用。该项目执行率达到100%。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5、代表及代表团活动经费82.5万，实际支出82.5万。主要用于代表及代表团开展各种活动保障经费。该项目执行率达到100%。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、人大预算联网监督及内网建设经费100万，实际预算下达50万元，实际支出48.3万元，该项目时间为2年，预计在2019年执行完成。主要用于人大预算联网监督会议室建设，预算联网及内网建设软件、硬件建设费用支出。该项目执行率达到48.3%。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四、部门整体支出管理情况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根据《预算法》、《会计法》、《行政单位财务规则》等法律和财政部及省财政厅有关财务规章的规定，为加强市人大常委会办公室建设项目的规范化、科学化管理，建立和完善科学的项目管理机制，提高项目管理和实施成效，我单位先后制订了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随州市人大常委会机关财务管理制度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随州市人大常委会机关固定资产管理制度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》、《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随州市人大常委会机关公务接待管理制度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》等制度，明确了经费审批权限及程序，经费预算管理、财务经费管理、资产购置与处置、财务监督等，针对“三公”经费建立了公用经费标准定额体系，开展公用经费使用监督和绩效评估，进一步落实厉行节约的各项规定，确保“三公”经费使用合理合规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五、自评结果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结合《部门整体支出绩效评价指标》评分，评价结果得分98分，财政支出绩效为“优”。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六、下一步工作安排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34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40" w:lineRule="exact"/>
        <w:ind w:right="0" w:firstLine="640"/>
        <w:jc w:val="left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201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年度,在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部门整体支出和项目绩效评价相对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完善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基础上,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我们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进一步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结合新形势下人大工作要点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,加强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履职尽责能力和资金使用效率。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r>
    </w:p>
    <w:p>
      <w:pPr>
        <w:pStyle w:val="634"/>
        <w:keepNext w:val="false"/>
        <w:keepLines w:val="false"/>
        <w:pageBreakBefore w:val="false"/>
        <w:widowControl w:val="true"/>
        <w:suppressLineNumbers w:val="false"/>
        <w:pBdr/>
        <w:spacing w:after="0" w:afterAutospacing="0" w:before="0" w:beforeAutospacing="0" w:line="640" w:lineRule="exact"/>
        <w:ind w:right="0" w:firstLine="640" w:lef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进一步做好预算编制。做好基础数据统计。在进行预算编制前，认真清查，摸清和掌握各种与预算有关的数据资料，落实专人具体负责，切实做到预算编制的科学、合理，确保数据的真实性、准确性，便以提高预算编制的质量。严格按照预算编制的要求，结合财政实际支出情况，从严控制一般性支出，注重控制行政成本，尤其是“三公”经费的支出比例，充分发挥财政资金的效益职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34"/>
        <w:keepNext w:val="false"/>
        <w:keepLines w:val="false"/>
        <w:pageBreakBefore w:val="false"/>
        <w:widowControl w:val="true"/>
        <w:suppressLineNumbers w:val="false"/>
        <w:pBdr/>
        <w:spacing w:after="0" w:afterAutospacing="0" w:before="0" w:beforeAutospacing="0" w:line="640" w:lineRule="exact"/>
        <w:ind w:right="0" w:firstLine="640" w:lef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进一步加强财务管理。严格按照中央预算管理制度，明确预算管理规范，严格执行部门预算，杜绝超范围、超标准开支，不随意调整预算支出项目，做到每一笔开支都在预算范围内。严禁超预算或无预算安排支出，严禁虚列支出、转移或者套取预算资金。严格执行财务预算制度，加强支出管理，正确进行财务核算。严肃财经纪律原则。合理编制和严格执行收支预算，定期编制财务报表，如实反映收支情况，加强资金支出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34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40" w:lineRule="exact"/>
        <w:ind w:right="0" w:firstLine="64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3、进一步建立健全机制。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机制建设是项目实施的前提保证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，要进一步探索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科学合理的项目管理、建设、督导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机制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,制定项目建设与经费管理相关制度,实行分级管理、项目管理、责任到人,保证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整体支出和项目支出的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高效实施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实施项目过程管理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建立项目建设监控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管理体系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,对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项目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执行情况和项目的实际效果进行定期的绩效评估与考核,提出评估意见和改进建议,及时研究解决工作中的实际困难与问题.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4、进一步提高资金效益。建立规范、高效的财政预算绩效运行机制。进一步加强财政项目资金管理,优化财政资源配置,推进资金统筹使用,避免资金使用“碎片化”,提高资金使用效益。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tbl>
      <w:tblPr>
        <w:tblW w:w="0" w:type="auto"/>
        <w:tblInd w:w="-1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80"/>
        <w:gridCol w:w="1920"/>
        <w:gridCol w:w="1560"/>
        <w:gridCol w:w="1380"/>
        <w:gridCol w:w="196"/>
        <w:gridCol w:w="1459"/>
        <w:gridCol w:w="1495"/>
      </w:tblGrid>
      <w:tr>
        <w:trPr>
          <w:trHeight w:val="124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方正大标宋简体" w:eastAsia="方正大标宋简体"/>
                <w:sz w:val="42"/>
                <w:szCs w:val="42"/>
              </w:rPr>
            </w:pPr>
            <w:r>
              <w:rPr>
                <w:rFonts w:hint="eastAsia" w:ascii="方正大标宋简体" w:eastAsia="方正大标宋简体"/>
                <w:sz w:val="36"/>
                <w:szCs w:val="36"/>
              </w:rPr>
              <w:t xml:space="preserve">2018年度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 xml:space="preserve">随州市人大常委会办公室</w:t>
            </w:r>
            <w:r>
              <w:rPr>
                <w:rFonts w:hint="eastAsia" w:ascii="方正大标宋简体" w:eastAsia="方正大标宋简体"/>
                <w:sz w:val="36"/>
                <w:szCs w:val="36"/>
              </w:rPr>
              <w:t xml:space="preserve">整体支出绩效自评表</w:t>
            </w:r>
            <w:r>
              <w:rPr>
                <w:rFonts w:hint="eastAsia" w:ascii="方正大标宋简体" w:eastAsia="方正大标宋简体"/>
                <w:sz w:val="42"/>
                <w:szCs w:val="42"/>
              </w:rPr>
            </w:r>
            <w:r>
              <w:rPr>
                <w:rFonts w:hint="eastAsia" w:ascii="方正大标宋简体" w:eastAsia="方正大标宋简体"/>
                <w:sz w:val="42"/>
                <w:szCs w:val="4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填报日期：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2019年8月26日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总分：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98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单位名称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1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随州市人大常委会办公室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基本支出总额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项目支出总额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240.8</w:t>
            </w:r>
            <w:r>
              <w:rPr>
                <w:rFonts w:ascii="宋体" w:hAnsi="宋体" w:eastAsia="宋体"/>
                <w:sz w:val="21"/>
                <w:szCs w:val="21"/>
                <w:lang w:val="en-US"/>
              </w:rPr>
            </w:r>
            <w:r>
              <w:rPr>
                <w:rFonts w:ascii="宋体" w:hAnsi="宋体" w:eastAsia="宋体"/>
                <w:sz w:val="21"/>
                <w:szCs w:val="21"/>
                <w:lang w:val="en-US"/>
              </w:rPr>
            </w:r>
          </w:p>
        </w:tc>
      </w:tr>
      <w:tr>
        <w:trPr>
          <w:trHeight w:val="64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预算执行情况（万元）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 w:clear="all"/>
            </w:r>
            <w:r>
              <w:rPr>
                <w:rFonts w:ascii="宋体" w:hAnsi="宋体" w:eastAsia="宋体"/>
                <w:sz w:val="21"/>
                <w:szCs w:val="21"/>
              </w:rPr>
              <w:t xml:space="preserve">（20分）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预算数（A)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执行数（B)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执行率(A/B)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得分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部门整体支出总额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一级指标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二级指标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三级指标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年初目标值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实际完成值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得分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43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预算管理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分）：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预算执行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预算执行率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效益指标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预算执行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预算调整率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1090.37万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1319.93万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413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绩效影响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资金管理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资金到位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效益指标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资金管理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支出规范性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符合规定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符合规定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行使地方立法权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质量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指标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立法质量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立法工作机制落实情况 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依法行使人大监督权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（20分）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服务全省工作大局情况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选题契合社会热点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80%以上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依法行使决定权和任免权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（10分）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重大事项决定议案通过率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100%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100%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人事任免议案通过率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both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认真做好代表工作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(10分)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代表活动经费保障情况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82.5万元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82.5万元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代表建议、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批评和意见答复率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组织、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召开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重大会议（10分）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数量指标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法定会议次数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8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8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质量指标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 xml:space="preserve">常委会组成人员满意度 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100%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12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约束性指标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资金管理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资金管理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合规性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3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不设权重，酌情扣分，如出现审计等部门重点披露的问题，或造成重大不良社会影响，评价总得分不得超过70分。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422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1.预算执行情况口径：预算数为调整后财政资金总额（包括上年结余结转），执行数为资金使用单位财政资金实际支出数。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 w:clear="all"/>
            </w:r>
            <w:r>
              <w:rPr>
                <w:rFonts w:ascii="宋体" w:hAnsi="宋体" w:eastAsia="宋体"/>
                <w:sz w:val="21"/>
                <w:szCs w:val="21"/>
              </w:rPr>
              <w:t xml:space="preserve"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 w:clear="all"/>
            </w:r>
            <w:r>
              <w:rPr>
                <w:rFonts w:ascii="宋体" w:hAnsi="宋体" w:eastAsia="宋体"/>
                <w:sz w:val="21"/>
                <w:szCs w:val="21"/>
              </w:rPr>
              <w:t xml:space="preserve"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 w:clear="all"/>
            </w:r>
            <w:r>
              <w:rPr>
                <w:rFonts w:ascii="宋体" w:hAnsi="宋体" w:eastAsia="宋体"/>
                <w:sz w:val="21"/>
                <w:szCs w:val="21"/>
              </w:rPr>
              <w:t xml:space="preserve">4.基于经济性和必要性等因素考虑，满意度指标暂可不作为必评指标。约束性指标以负数记分。</w:t>
            </w: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</w:tbl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pBdr/>
        <w:spacing w:line="640" w:lineRule="exact"/>
        <w:ind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tbl>
      <w:tblPr>
        <w:tblW w:w="0" w:type="auto"/>
        <w:tblInd w:w="-17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71"/>
        <w:gridCol w:w="3089"/>
        <w:gridCol w:w="2995"/>
        <w:gridCol w:w="1995"/>
      </w:tblGrid>
      <w:tr>
        <w:trPr>
          <w:trHeight w:val="13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5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方正大标宋简体" w:eastAsia="方正大标宋简体"/>
                <w:sz w:val="42"/>
                <w:szCs w:val="42"/>
              </w:rPr>
            </w:pPr>
            <w:r>
              <w:rPr>
                <w:rFonts w:hint="eastAsia" w:ascii="方正大标宋简体" w:eastAsia="方正大标宋简体"/>
                <w:sz w:val="42"/>
                <w:szCs w:val="42"/>
              </w:rPr>
              <w:t xml:space="preserve">2018年度</w:t>
            </w:r>
            <w:r>
              <w:rPr>
                <w:rFonts w:hint="eastAsia" w:ascii="方正大标宋简体" w:eastAsia="方正大标宋简体"/>
                <w:sz w:val="42"/>
                <w:szCs w:val="42"/>
                <w:lang w:eastAsia="zh-CN"/>
              </w:rPr>
              <w:t xml:space="preserve">随州市人大常委会办公室</w:t>
            </w:r>
            <w:r>
              <w:rPr>
                <w:rFonts w:hint="eastAsia" w:ascii="方正大标宋简体" w:eastAsia="方正大标宋简体"/>
                <w:sz w:val="42"/>
                <w:szCs w:val="42"/>
              </w:rPr>
              <w:t xml:space="preserve">绩效自评情况汇总表</w:t>
            </w:r>
            <w:r>
              <w:rPr>
                <w:rFonts w:hint="eastAsia" w:ascii="方正大标宋简体" w:eastAsia="方正大标宋简体"/>
                <w:sz w:val="42"/>
                <w:szCs w:val="42"/>
              </w:rPr>
            </w:r>
            <w:r>
              <w:rPr>
                <w:rFonts w:hint="eastAsia" w:ascii="方正大标宋简体" w:eastAsia="方正大标宋简体"/>
                <w:sz w:val="42"/>
                <w:szCs w:val="42"/>
              </w:rPr>
            </w:r>
          </w:p>
        </w:tc>
      </w:tr>
      <w:tr>
        <w:trPr>
          <w:trHeight w:val="46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填报日期：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2019年8月28日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</w:rPr>
              <w:t xml:space="preserve">绩效自评覆盖率：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100%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序号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资金使用单位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项目名称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财政资金总额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人大专项工作经费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55万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立法工作经费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5万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例会经费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12万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4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专委会经费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38万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代表及代表团活动经费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82.5万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6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 xml:space="preserve">市人大常委会办公室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人大预算联网监督及内网建设经费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  <w:r>
              <w:rPr>
                <w:rFonts w:hint="eastAsia" w:ascii="宋体" w:hAnsi="宋体" w:eastAsia="宋体"/>
                <w:sz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50万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  <w:tr>
        <w:trPr>
          <w:trHeight w:val="79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1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合计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242.5万</w:t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  <w:r>
              <w:rPr>
                <w:rFonts w:ascii="宋体" w:hAnsi="宋体" w:eastAsia="宋体"/>
                <w:sz w:val="24"/>
                <w:lang w:val="en-US" w:eastAsia="zh-CN"/>
              </w:rPr>
            </w:r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备注：绩效自评覆盖率=自评项目个数/项目总数</w:t>
            </w: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</w:r>
            <w:r>
              <w:rPr>
                <w:rFonts w:ascii="宋体" w:hAnsi="宋体" w:eastAsia="宋体"/>
                <w:sz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大标宋简体">
    <w:panose1 w:val="020B0604020202020204"/>
  </w:font>
  <w:font w:name="黑体">
    <w:panose1 w:val="02010609060101010101"/>
  </w:font>
  <w:font w:name="仿宋_GB2312">
    <w:panose1 w:val="02010609060101010101"/>
  </w:font>
  <w:font w:name="方正小标宋简体">
    <w:panose1 w:val="020B0604020202020204"/>
  </w:font>
  <w:font w:name="新宋体">
    <w:panose1 w:val="0201060903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pPr>
      <w:widowControl w:val="false"/>
      <w:pBdr/>
      <w:spacing/>
      <w:ind/>
      <w:jc w:val="both"/>
    </w:pPr>
    <w:rPr>
      <w:sz w:val="21"/>
      <w:szCs w:val="21"/>
      <w:lang w:val="en-US" w:eastAsia="zh-CN" w:bidi="ar-SA"/>
    </w:rPr>
  </w:style>
  <w:style w:type="paragraph" w:styleId="617">
    <w:name w:val="标题 1"/>
    <w:basedOn w:val="616"/>
    <w:next w:val="616"/>
    <w:link w:val="616"/>
    <w:pPr>
      <w:pBdr/>
      <w:spacing w:after="100" w:afterAutospacing="1" w:before="100" w:beforeAutospacing="1"/>
      <w:ind/>
      <w:jc w:val="left"/>
    </w:pPr>
    <w:rPr>
      <w:rFonts w:hint="eastAsia" w:ascii="宋体" w:hAnsi="宋体" w:eastAsia="宋体" w:cs="宋体"/>
      <w:b/>
      <w:sz w:val="48"/>
      <w:szCs w:val="48"/>
      <w:lang w:val="en-US" w:eastAsia="zh-CN" w:bidi="ar"/>
    </w:rPr>
  </w:style>
  <w:style w:type="character" w:styleId="618">
    <w:name w:val="默认段落字体"/>
    <w:next w:val="618"/>
    <w:link w:val="616"/>
    <w:semiHidden/>
    <w:pPr>
      <w:pBdr/>
      <w:spacing/>
      <w:ind/>
    </w:pPr>
  </w:style>
  <w:style w:type="table" w:styleId="619">
    <w:name w:val="普通表格"/>
    <w:next w:val="619"/>
    <w:link w:val="616"/>
    <w:semiHidden/>
    <w:pPr>
      <w:keepNext w:val="false"/>
      <w:keepLines w:val="false"/>
      <w:widowControl w:val="true"/>
      <w:suppressLineNumbers w:val="false"/>
      <w:pBdr/>
      <w:spacing w:after="0" w:afterAutospacing="0" w:before="0" w:beforeAutospacing="0"/>
      <w:ind w:right="0" w:left="0"/>
    </w:pPr>
    <w:rPr>
      <w:rFonts w:ascii="Times New Roman" w:hAnsi="Times New Roman" w:eastAsia="Times New Roman" w:cs="Times New Roman"/>
      <w:sz w:val="20"/>
      <w:szCs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0">
    <w:name w:val="current"/>
    <w:basedOn w:val="618"/>
    <w:next w:val="620"/>
    <w:link w:val="616"/>
    <w:pPr>
      <w:pBdr/>
      <w:spacing/>
      <w:ind/>
    </w:pPr>
    <w:rPr>
      <w:b/>
      <w:color w:val="ffffff"/>
      <w:shd w:val="clear" w:color="auto" w:fill="1e72b4"/>
    </w:rPr>
  </w:style>
  <w:style w:type="character" w:styleId="621">
    <w:name w:val="HTML 定义"/>
    <w:basedOn w:val="618"/>
    <w:next w:val="621"/>
    <w:link w:val="616"/>
    <w:pPr>
      <w:pBdr/>
      <w:spacing/>
      <w:ind/>
    </w:pPr>
    <w:rPr>
      <w:b w:val="0"/>
      <w:i w:val="0"/>
    </w:rPr>
  </w:style>
  <w:style w:type="character" w:styleId="622">
    <w:name w:val="强调"/>
    <w:basedOn w:val="618"/>
    <w:next w:val="622"/>
    <w:link w:val="616"/>
    <w:pPr>
      <w:pBdr/>
      <w:spacing/>
      <w:ind/>
    </w:pPr>
    <w:rPr>
      <w:b w:val="0"/>
      <w:i w:val="0"/>
    </w:rPr>
  </w:style>
  <w:style w:type="character" w:styleId="623">
    <w:name w:val="已访问的超链接"/>
    <w:basedOn w:val="618"/>
    <w:next w:val="623"/>
    <w:link w:val="616"/>
    <w:pPr>
      <w:pBdr/>
      <w:spacing/>
      <w:ind/>
    </w:pPr>
    <w:rPr>
      <w:color w:val="555555"/>
      <w:u w:val="none"/>
    </w:rPr>
  </w:style>
  <w:style w:type="character" w:styleId="624">
    <w:name w:val="要点"/>
    <w:basedOn w:val="618"/>
    <w:next w:val="624"/>
    <w:link w:val="616"/>
    <w:pPr>
      <w:pBdr/>
      <w:spacing/>
      <w:ind/>
    </w:pPr>
    <w:rPr>
      <w:b/>
    </w:rPr>
  </w:style>
  <w:style w:type="character" w:styleId="625">
    <w:name w:val="HTML 缩写"/>
    <w:basedOn w:val="618"/>
    <w:next w:val="625"/>
    <w:link w:val="616"/>
    <w:pPr>
      <w:pBdr/>
      <w:spacing/>
      <w:ind/>
    </w:pPr>
  </w:style>
  <w:style w:type="character" w:styleId="626">
    <w:name w:val="HTML 变量"/>
    <w:basedOn w:val="618"/>
    <w:next w:val="626"/>
    <w:link w:val="616"/>
    <w:pPr>
      <w:pBdr/>
      <w:spacing/>
      <w:ind/>
    </w:pPr>
    <w:rPr>
      <w:b w:val="0"/>
      <w:i w:val="0"/>
    </w:rPr>
  </w:style>
  <w:style w:type="character" w:styleId="627">
    <w:name w:val="hover37"/>
    <w:basedOn w:val="618"/>
    <w:next w:val="627"/>
    <w:link w:val="616"/>
    <w:pPr>
      <w:pBdr/>
      <w:spacing/>
      <w:ind/>
    </w:pPr>
  </w:style>
  <w:style w:type="character" w:styleId="628">
    <w:name w:val="超链接"/>
    <w:basedOn w:val="618"/>
    <w:next w:val="628"/>
    <w:link w:val="616"/>
    <w:pPr>
      <w:pBdr/>
      <w:spacing/>
      <w:ind/>
    </w:pPr>
    <w:rPr>
      <w:color w:val="555555"/>
      <w:u w:val="none"/>
    </w:rPr>
  </w:style>
  <w:style w:type="character" w:styleId="629">
    <w:name w:val="HTML 代码"/>
    <w:basedOn w:val="618"/>
    <w:next w:val="629"/>
    <w:link w:val="616"/>
    <w:pPr>
      <w:pBdr/>
      <w:spacing/>
      <w:ind/>
    </w:pPr>
    <w:rPr>
      <w:rFonts w:ascii="Courier New" w:hAnsi="Courier New"/>
      <w:b w:val="0"/>
      <w:i w:val="0"/>
      <w:sz w:val="20"/>
    </w:rPr>
  </w:style>
  <w:style w:type="character" w:styleId="630">
    <w:name w:val="HTML 引文"/>
    <w:basedOn w:val="618"/>
    <w:next w:val="630"/>
    <w:link w:val="616"/>
    <w:pPr>
      <w:pBdr/>
      <w:spacing/>
      <w:ind/>
    </w:pPr>
    <w:rPr>
      <w:b w:val="0"/>
      <w:i w:val="0"/>
    </w:rPr>
  </w:style>
  <w:style w:type="character" w:styleId="631">
    <w:name w:val="disabled"/>
    <w:basedOn w:val="618"/>
    <w:next w:val="631"/>
    <w:link w:val="616"/>
    <w:pPr>
      <w:pBdr/>
      <w:spacing/>
      <w:ind/>
    </w:pPr>
    <w:rPr>
      <w:color w:val="999999"/>
    </w:rPr>
  </w:style>
  <w:style w:type="character" w:styleId="632">
    <w:name w:val="hover38"/>
    <w:basedOn w:val="618"/>
    <w:next w:val="632"/>
    <w:link w:val="616"/>
    <w:pPr>
      <w:pBdr/>
      <w:spacing/>
      <w:ind/>
    </w:pPr>
    <w:rPr>
      <w:color w:val="da1919"/>
    </w:rPr>
  </w:style>
  <w:style w:type="character" w:styleId="633">
    <w:name w:val="hover39"/>
    <w:basedOn w:val="618"/>
    <w:next w:val="633"/>
    <w:link w:val="616"/>
    <w:pPr>
      <w:pBdr/>
      <w:spacing/>
      <w:ind/>
    </w:pPr>
    <w:rPr>
      <w:color w:val="ffffff"/>
      <w:shd w:val="clear" w:color="auto" w:fill="ff7f00"/>
    </w:rPr>
  </w:style>
  <w:style w:type="paragraph" w:styleId="634">
    <w:name w:val="普通(网站)"/>
    <w:basedOn w:val="616"/>
    <w:next w:val="634"/>
    <w:link w:val="61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0" w:afterAutospacing="0" w:before="0" w:beforeAutospacing="0"/>
      <w:ind w:right="0" w:left="0"/>
      <w:jc w:val="left"/>
    </w:pPr>
    <w:rPr>
      <w:sz w:val="24"/>
      <w:lang w:val="en-US" w:eastAsia="zh-CN" w:bidi="ar"/>
    </w:rPr>
  </w:style>
  <w:style w:type="paragraph" w:styleId="635">
    <w:name w:val="Normal1"/>
    <w:basedOn w:val="616"/>
    <w:next w:val="635"/>
    <w:link w:val="616"/>
    <w:pPr>
      <w:widowControl w:val="true"/>
      <w:pBdr/>
      <w:spacing/>
      <w:ind/>
    </w:pPr>
    <w:rPr>
      <w:rFonts w:ascii="新宋体" w:hAnsi="新宋体" w:eastAsia="新宋体" w:cs="宋体"/>
    </w:rPr>
  </w:style>
  <w:style w:type="character" w:styleId="3036" w:default="1">
    <w:name w:val="Default Paragraph Font"/>
    <w:uiPriority w:val="1"/>
    <w:semiHidden/>
    <w:unhideWhenUsed/>
    <w:pPr>
      <w:pBdr/>
      <w:spacing/>
      <w:ind/>
    </w:pPr>
  </w:style>
  <w:style w:type="numbering" w:styleId="3037" w:default="1">
    <w:name w:val="No List"/>
    <w:uiPriority w:val="99"/>
    <w:semiHidden/>
    <w:unhideWhenUsed/>
    <w:pPr>
      <w:pBdr/>
      <w:spacing/>
      <w:ind/>
    </w:pPr>
  </w:style>
  <w:style w:type="table" w:styleId="303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</Company>
  <DocSecurity>0</DocSecurity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部门整体支出</dc:title>
  <dc:creator>微软</dc:creator>
  <cp:lastModifiedBy>匿名</cp:lastModifiedBy>
  <cp:revision>3</cp:revision>
  <dcterms:created xsi:type="dcterms:W3CDTF">2018-09-26T00:46:00Z</dcterms:created>
  <dcterms:modified xsi:type="dcterms:W3CDTF">2024-12-31T06:49:12Z</dcterms:modified>
</cp:coreProperties>
</file>