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B11" w:rsidRDefault="00817B11">
      <w:pPr>
        <w:widowControl w:val="0"/>
        <w:kinsoku/>
        <w:autoSpaceDE/>
        <w:autoSpaceDN/>
        <w:adjustRightInd/>
        <w:snapToGrid/>
        <w:spacing w:line="620" w:lineRule="exact"/>
        <w:jc w:val="center"/>
        <w:rPr>
          <w:rFonts w:ascii="Times New Roman" w:eastAsia="方正大标宋简体" w:hAnsi="Times New Roman" w:cs="Times New Roman"/>
          <w:color w:val="auto"/>
          <w:sz w:val="40"/>
          <w:szCs w:val="40"/>
          <w:lang w:eastAsia="zh-CN"/>
        </w:rPr>
      </w:pPr>
    </w:p>
    <w:p w:rsidR="00817B11" w:rsidRDefault="00817B11">
      <w:pPr>
        <w:widowControl w:val="0"/>
        <w:kinsoku/>
        <w:autoSpaceDE/>
        <w:autoSpaceDN/>
        <w:adjustRightInd/>
        <w:snapToGrid/>
        <w:spacing w:line="620" w:lineRule="exact"/>
        <w:jc w:val="center"/>
        <w:rPr>
          <w:rFonts w:ascii="Times New Roman" w:eastAsia="方正大标宋简体" w:hAnsi="Times New Roman" w:cs="Times New Roman"/>
          <w:color w:val="auto"/>
          <w:sz w:val="40"/>
          <w:szCs w:val="40"/>
          <w:lang w:eastAsia="zh-CN"/>
        </w:rPr>
      </w:pPr>
    </w:p>
    <w:p w:rsidR="00817B11" w:rsidRPr="00D57E02" w:rsidRDefault="00D57E02" w:rsidP="00D57E02">
      <w:pPr>
        <w:widowControl w:val="0"/>
        <w:kinsoku/>
        <w:autoSpaceDE/>
        <w:autoSpaceDN/>
        <w:adjustRightInd/>
        <w:snapToGrid/>
        <w:spacing w:line="620" w:lineRule="exact"/>
        <w:jc w:val="right"/>
        <w:rPr>
          <w:rFonts w:ascii="Times New Roman" w:eastAsia="仿宋_GB2312" w:hAnsi="Times New Roman" w:cs="Times New Roman"/>
          <w:color w:val="auto"/>
          <w:sz w:val="32"/>
          <w:szCs w:val="32"/>
          <w:lang w:eastAsia="zh-CN"/>
        </w:rPr>
      </w:pPr>
      <w:r w:rsidRPr="00D57E02">
        <w:rPr>
          <w:rFonts w:ascii="Times New Roman" w:eastAsia="仿宋_GB2312" w:hAnsi="Times New Roman" w:cs="Times New Roman"/>
          <w:color w:val="auto"/>
          <w:sz w:val="32"/>
          <w:szCs w:val="32"/>
          <w:lang w:eastAsia="zh-CN"/>
        </w:rPr>
        <w:t>随财函〔</w:t>
      </w:r>
      <w:r w:rsidRPr="00D57E02">
        <w:rPr>
          <w:rFonts w:ascii="Times New Roman" w:eastAsia="仿宋_GB2312" w:hAnsi="Times New Roman" w:cs="Times New Roman"/>
          <w:color w:val="auto"/>
          <w:sz w:val="32"/>
          <w:szCs w:val="32"/>
          <w:lang w:eastAsia="zh-CN"/>
        </w:rPr>
        <w:t>2021</w:t>
      </w:r>
      <w:r w:rsidRPr="00D57E02">
        <w:rPr>
          <w:rFonts w:ascii="Times New Roman" w:eastAsia="仿宋_GB2312" w:hAnsi="Times New Roman" w:cs="Times New Roman"/>
          <w:color w:val="auto"/>
          <w:sz w:val="32"/>
          <w:szCs w:val="32"/>
          <w:lang w:eastAsia="zh-CN"/>
        </w:rPr>
        <w:t>〕</w:t>
      </w:r>
      <w:r w:rsidRPr="00D57E02">
        <w:rPr>
          <w:rFonts w:ascii="Times New Roman" w:eastAsia="仿宋_GB2312" w:hAnsi="Times New Roman" w:cs="Times New Roman"/>
          <w:color w:val="auto"/>
          <w:sz w:val="32"/>
          <w:szCs w:val="32"/>
          <w:lang w:eastAsia="zh-CN"/>
        </w:rPr>
        <w:t>7</w:t>
      </w:r>
      <w:r w:rsidRPr="00D57E02">
        <w:rPr>
          <w:rFonts w:ascii="Times New Roman" w:eastAsia="仿宋_GB2312" w:hAnsi="Times New Roman" w:cs="Times New Roman"/>
          <w:color w:val="auto"/>
          <w:sz w:val="32"/>
          <w:szCs w:val="32"/>
          <w:lang w:eastAsia="zh-CN"/>
        </w:rPr>
        <w:t>号</w:t>
      </w:r>
    </w:p>
    <w:p w:rsidR="00817B11" w:rsidRDefault="00817B11">
      <w:pPr>
        <w:widowControl w:val="0"/>
        <w:kinsoku/>
        <w:autoSpaceDE/>
        <w:autoSpaceDN/>
        <w:adjustRightInd/>
        <w:snapToGrid/>
        <w:spacing w:line="620" w:lineRule="exact"/>
        <w:jc w:val="center"/>
        <w:rPr>
          <w:rFonts w:ascii="Times New Roman" w:eastAsia="方正大标宋简体" w:hAnsi="Times New Roman" w:cs="Times New Roman"/>
          <w:color w:val="auto"/>
          <w:sz w:val="40"/>
          <w:szCs w:val="40"/>
          <w:lang w:eastAsia="zh-CN"/>
        </w:rPr>
      </w:pPr>
    </w:p>
    <w:p w:rsidR="00817B11" w:rsidRDefault="00817B11">
      <w:pPr>
        <w:widowControl w:val="0"/>
        <w:kinsoku/>
        <w:autoSpaceDE/>
        <w:autoSpaceDN/>
        <w:adjustRightInd/>
        <w:snapToGrid/>
        <w:spacing w:line="620" w:lineRule="exact"/>
        <w:jc w:val="center"/>
        <w:rPr>
          <w:rFonts w:ascii="Times New Roman" w:eastAsia="方正大标宋简体" w:hAnsi="Times New Roman" w:cs="Times New Roman"/>
          <w:color w:val="auto"/>
          <w:sz w:val="40"/>
          <w:szCs w:val="40"/>
          <w:lang w:eastAsia="zh-CN"/>
        </w:rPr>
      </w:pPr>
    </w:p>
    <w:p w:rsidR="00817B11" w:rsidRDefault="00EF66DB">
      <w:pPr>
        <w:widowControl w:val="0"/>
        <w:kinsoku/>
        <w:autoSpaceDE/>
        <w:autoSpaceDN/>
        <w:adjustRightInd/>
        <w:snapToGrid/>
        <w:spacing w:line="620" w:lineRule="exact"/>
        <w:jc w:val="center"/>
        <w:rPr>
          <w:rFonts w:ascii="Times New Roman" w:eastAsia="方正大标宋简体" w:hAnsi="Times New Roman" w:cs="Times New Roman"/>
          <w:color w:val="auto"/>
          <w:sz w:val="40"/>
          <w:szCs w:val="40"/>
        </w:rPr>
      </w:pPr>
      <w:r>
        <w:rPr>
          <w:rFonts w:ascii="Times New Roman" w:eastAsia="方正大标宋简体" w:hAnsi="Times New Roman" w:cs="Times New Roman"/>
          <w:color w:val="auto"/>
          <w:sz w:val="40"/>
          <w:szCs w:val="40"/>
          <w:lang w:eastAsia="zh-CN"/>
        </w:rPr>
        <w:t>市财政局</w:t>
      </w:r>
      <w:r>
        <w:rPr>
          <w:rFonts w:ascii="Times New Roman" w:eastAsia="方正大标宋简体" w:hAnsi="Times New Roman" w:cs="Times New Roman"/>
          <w:color w:val="auto"/>
          <w:sz w:val="40"/>
          <w:szCs w:val="40"/>
        </w:rPr>
        <w:t>关于下达</w:t>
      </w:r>
      <w:r>
        <w:rPr>
          <w:rFonts w:ascii="Times New Roman" w:eastAsia="方正大标宋简体" w:hAnsi="Times New Roman" w:cs="Times New Roman"/>
          <w:color w:val="auto"/>
          <w:sz w:val="40"/>
          <w:szCs w:val="40"/>
        </w:rPr>
        <w:t>202</w:t>
      </w:r>
      <w:r>
        <w:rPr>
          <w:rFonts w:ascii="Times New Roman" w:eastAsia="方正大标宋简体" w:hAnsi="Times New Roman" w:cs="Times New Roman" w:hint="eastAsia"/>
          <w:color w:val="auto"/>
          <w:sz w:val="40"/>
          <w:szCs w:val="40"/>
          <w:lang w:eastAsia="zh-CN"/>
        </w:rPr>
        <w:t>5</w:t>
      </w:r>
      <w:r>
        <w:rPr>
          <w:rFonts w:ascii="Times New Roman" w:eastAsia="方正大标宋简体" w:hAnsi="Times New Roman" w:cs="Times New Roman"/>
          <w:color w:val="auto"/>
          <w:sz w:val="40"/>
          <w:szCs w:val="40"/>
        </w:rPr>
        <w:t>年中央财政衔接</w:t>
      </w:r>
    </w:p>
    <w:p w:rsidR="00817B11" w:rsidRDefault="00EF66DB">
      <w:pPr>
        <w:widowControl w:val="0"/>
        <w:kinsoku/>
        <w:autoSpaceDE/>
        <w:autoSpaceDN/>
        <w:adjustRightInd/>
        <w:snapToGrid/>
        <w:spacing w:line="620" w:lineRule="exact"/>
        <w:jc w:val="center"/>
        <w:rPr>
          <w:rFonts w:ascii="Times New Roman" w:eastAsia="方正大标宋简体" w:hAnsi="Times New Roman" w:cs="Times New Roman"/>
          <w:color w:val="auto"/>
          <w:sz w:val="40"/>
          <w:szCs w:val="40"/>
        </w:rPr>
      </w:pPr>
      <w:r>
        <w:rPr>
          <w:rFonts w:ascii="Times New Roman" w:eastAsia="方正大标宋简体" w:hAnsi="Times New Roman" w:cs="Times New Roman"/>
          <w:color w:val="auto"/>
          <w:sz w:val="40"/>
          <w:szCs w:val="40"/>
        </w:rPr>
        <w:t>推进乡村振兴补助资金预算的通知</w:t>
      </w:r>
    </w:p>
    <w:p w:rsidR="00817B11" w:rsidRDefault="00817B11">
      <w:pPr>
        <w:widowControl w:val="0"/>
        <w:kinsoku/>
        <w:autoSpaceDE/>
        <w:autoSpaceDN/>
        <w:adjustRightInd/>
        <w:snapToGrid/>
        <w:spacing w:line="620" w:lineRule="exact"/>
        <w:ind w:firstLineChars="200" w:firstLine="640"/>
        <w:jc w:val="both"/>
        <w:rPr>
          <w:rFonts w:ascii="Times New Roman" w:eastAsia="仿宋_GB2312" w:hAnsi="Times New Roman" w:cs="Times New Roman"/>
          <w:color w:val="auto"/>
          <w:sz w:val="32"/>
          <w:szCs w:val="32"/>
        </w:rPr>
      </w:pPr>
    </w:p>
    <w:p w:rsidR="00817B11" w:rsidRDefault="00EF66DB">
      <w:pPr>
        <w:pStyle w:val="a3"/>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lang w:eastAsia="zh-CN"/>
        </w:rPr>
        <w:t>随县</w:t>
      </w:r>
      <w:r>
        <w:rPr>
          <w:rFonts w:ascii="Times New Roman" w:eastAsia="仿宋_GB2312" w:hAnsi="Times New Roman" w:cs="Times New Roman"/>
          <w:color w:val="auto"/>
          <w:sz w:val="32"/>
          <w:szCs w:val="32"/>
        </w:rPr>
        <w:t>财政局：</w:t>
      </w:r>
    </w:p>
    <w:p w:rsidR="00817B11" w:rsidRDefault="00EF66DB">
      <w:pPr>
        <w:pStyle w:val="a3"/>
        <w:widowControl w:val="0"/>
        <w:kinsoku/>
        <w:autoSpaceDE/>
        <w:autoSpaceDN/>
        <w:adjustRightInd/>
        <w:snapToGrid/>
        <w:spacing w:line="62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为提高预算完整性，加快支出进度，根据《</w:t>
      </w:r>
      <w:r>
        <w:rPr>
          <w:rFonts w:ascii="Times New Roman" w:eastAsia="仿宋_GB2312" w:hAnsi="Times New Roman" w:cs="Times New Roman"/>
          <w:color w:val="auto"/>
          <w:sz w:val="32"/>
          <w:szCs w:val="32"/>
          <w:lang w:eastAsia="zh-CN"/>
        </w:rPr>
        <w:t>省财政厅</w:t>
      </w:r>
      <w:r>
        <w:rPr>
          <w:rFonts w:ascii="Times New Roman" w:eastAsia="仿宋_GB2312" w:hAnsi="Times New Roman" w:cs="Times New Roman"/>
          <w:color w:val="auto"/>
          <w:sz w:val="32"/>
          <w:szCs w:val="32"/>
        </w:rPr>
        <w:t>关于提前下达</w:t>
      </w: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lang w:eastAsia="zh-CN"/>
        </w:rPr>
        <w:t>5</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年中央财政衔接推进乡村振兴补助资金预算的通知》</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鄂财农发</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lang w:eastAsia="zh-CN"/>
        </w:rPr>
        <w:t>4</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lang w:eastAsia="zh-CN"/>
        </w:rPr>
        <w:t>86</w:t>
      </w:r>
      <w:r>
        <w:rPr>
          <w:rFonts w:ascii="Times New Roman" w:eastAsia="仿宋_GB2312" w:hAnsi="Times New Roman" w:cs="Times New Roman"/>
          <w:color w:val="auto"/>
          <w:sz w:val="32"/>
          <w:szCs w:val="32"/>
        </w:rPr>
        <w:t>号</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rPr>
        <w:t>文件精神，现下达你地</w:t>
      </w: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lang w:eastAsia="zh-CN"/>
        </w:rPr>
        <w:t>5</w:t>
      </w:r>
      <w:r>
        <w:rPr>
          <w:rFonts w:ascii="Times New Roman" w:eastAsia="仿宋_GB2312" w:hAnsi="Times New Roman" w:cs="Times New Roman"/>
          <w:color w:val="auto"/>
          <w:sz w:val="32"/>
          <w:szCs w:val="32"/>
        </w:rPr>
        <w:t>年中央财政衔接推进乡村振兴补助资金</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rPr>
        <w:t>以下简称衔接资金</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rPr>
        <w:t>预算指标</w:t>
      </w:r>
      <w:r>
        <w:rPr>
          <w:rFonts w:ascii="Times New Roman" w:eastAsia="仿宋_GB2312" w:hAnsi="Times New Roman" w:cs="Times New Roman" w:hint="eastAsia"/>
          <w:color w:val="auto"/>
          <w:sz w:val="32"/>
          <w:szCs w:val="32"/>
          <w:lang w:eastAsia="zh-CN"/>
        </w:rPr>
        <w:t>130</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lang w:eastAsia="zh-CN"/>
        </w:rPr>
        <w:t>，收支</w:t>
      </w:r>
      <w:r>
        <w:rPr>
          <w:rFonts w:ascii="Times New Roman" w:eastAsia="仿宋_GB2312" w:hAnsi="Times New Roman" w:cs="Times New Roman" w:hint="eastAsia"/>
          <w:color w:val="auto"/>
          <w:sz w:val="32"/>
          <w:szCs w:val="32"/>
          <w:lang w:eastAsia="zh-CN"/>
        </w:rPr>
        <w:t>分别</w:t>
      </w:r>
      <w:r>
        <w:rPr>
          <w:rFonts w:ascii="Times New Roman" w:eastAsia="仿宋_GB2312" w:hAnsi="Times New Roman" w:cs="Times New Roman" w:hint="eastAsia"/>
          <w:color w:val="auto"/>
          <w:sz w:val="32"/>
          <w:szCs w:val="32"/>
          <w:lang w:eastAsia="zh-CN"/>
        </w:rPr>
        <w:t>列</w:t>
      </w:r>
      <w:r>
        <w:rPr>
          <w:rFonts w:ascii="Times New Roman" w:eastAsia="仿宋_GB2312" w:hAnsi="Times New Roman" w:cs="Times New Roman" w:hint="eastAsia"/>
          <w:color w:val="auto"/>
          <w:sz w:val="32"/>
          <w:szCs w:val="32"/>
          <w:lang w:eastAsia="zh-CN"/>
        </w:rPr>
        <w:t>202</w:t>
      </w:r>
      <w:r>
        <w:rPr>
          <w:rFonts w:ascii="Times New Roman" w:eastAsia="仿宋_GB2312" w:hAnsi="Times New Roman" w:cs="Times New Roman" w:hint="eastAsia"/>
          <w:color w:val="auto"/>
          <w:sz w:val="32"/>
          <w:szCs w:val="32"/>
          <w:lang w:eastAsia="zh-CN"/>
        </w:rPr>
        <w:t>5</w:t>
      </w:r>
      <w:r>
        <w:rPr>
          <w:rFonts w:ascii="Times New Roman" w:eastAsia="仿宋_GB2312" w:hAnsi="Times New Roman" w:cs="Times New Roman" w:hint="eastAsia"/>
          <w:color w:val="auto"/>
          <w:sz w:val="32"/>
          <w:szCs w:val="32"/>
          <w:lang w:eastAsia="zh-CN"/>
        </w:rPr>
        <w:t>年政府收支分类科目“</w:t>
      </w:r>
      <w:r>
        <w:rPr>
          <w:rFonts w:ascii="Times New Roman" w:eastAsia="仿宋_GB2312" w:hAnsi="Times New Roman" w:cs="Times New Roman" w:hint="eastAsia"/>
          <w:color w:val="auto"/>
          <w:sz w:val="32"/>
          <w:szCs w:val="32"/>
          <w:lang w:eastAsia="zh-CN"/>
        </w:rPr>
        <w:t xml:space="preserve">1100231 </w:t>
      </w:r>
      <w:r>
        <w:rPr>
          <w:rFonts w:ascii="Times New Roman" w:eastAsia="仿宋_GB2312" w:hAnsi="Times New Roman" w:cs="Times New Roman" w:hint="eastAsia"/>
          <w:color w:val="auto"/>
          <w:sz w:val="32"/>
          <w:szCs w:val="32"/>
          <w:lang w:eastAsia="zh-CN"/>
        </w:rPr>
        <w:t>巩固脱贫攻坚成果衔接乡村振兴转移支付收入”、“</w:t>
      </w:r>
      <w:r>
        <w:rPr>
          <w:rFonts w:ascii="Times New Roman" w:eastAsia="仿宋_GB2312" w:hAnsi="Times New Roman" w:cs="Times New Roman" w:hint="eastAsia"/>
          <w:color w:val="auto"/>
          <w:sz w:val="32"/>
          <w:szCs w:val="32"/>
          <w:lang w:eastAsia="zh-CN"/>
        </w:rPr>
        <w:t>21305</w:t>
      </w:r>
      <w:r>
        <w:rPr>
          <w:rFonts w:ascii="Times New Roman" w:eastAsia="仿宋_GB2312" w:hAnsi="Times New Roman" w:cs="Times New Roman" w:hint="eastAsia"/>
          <w:color w:val="auto"/>
          <w:sz w:val="32"/>
          <w:szCs w:val="32"/>
          <w:lang w:eastAsia="zh-CN"/>
        </w:rPr>
        <w:t>巩固脱贫攻坚成果衔接乡村振兴”。</w:t>
      </w:r>
      <w:r>
        <w:rPr>
          <w:rFonts w:ascii="Times New Roman" w:eastAsia="仿宋_GB2312" w:hAnsi="Times New Roman" w:cs="Times New Roman"/>
          <w:color w:val="auto"/>
          <w:sz w:val="32"/>
          <w:szCs w:val="32"/>
        </w:rPr>
        <w:t>项目名称：中央财政衔接推进乡村振兴补助资金</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color w:val="auto"/>
          <w:sz w:val="32"/>
          <w:szCs w:val="32"/>
        </w:rPr>
        <w:t>项目代码：</w:t>
      </w:r>
      <w:r>
        <w:rPr>
          <w:rFonts w:ascii="Times New Roman" w:eastAsia="仿宋_GB2312" w:hAnsi="Times New Roman" w:cs="Times New Roman"/>
          <w:color w:val="auto"/>
          <w:sz w:val="32"/>
          <w:szCs w:val="32"/>
        </w:rPr>
        <w:t>10000015Z155110000004</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color w:val="auto"/>
          <w:sz w:val="32"/>
          <w:szCs w:val="32"/>
        </w:rPr>
        <w:t>现将有关事项通知如下：</w:t>
      </w:r>
    </w:p>
    <w:p w:rsidR="00817B11" w:rsidRDefault="00EF66DB">
      <w:pPr>
        <w:pStyle w:val="a3"/>
        <w:widowControl w:val="0"/>
        <w:kinsoku/>
        <w:autoSpaceDE/>
        <w:autoSpaceDN/>
        <w:adjustRightInd/>
        <w:snapToGrid/>
        <w:spacing w:line="620" w:lineRule="exact"/>
        <w:ind w:firstLineChars="200" w:firstLine="643"/>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b/>
          <w:bCs/>
          <w:color w:val="auto"/>
          <w:sz w:val="32"/>
          <w:szCs w:val="32"/>
          <w:lang w:eastAsia="zh-CN"/>
        </w:rPr>
        <w:t>一、做好预算编制和资金分解下达工作。</w:t>
      </w:r>
      <w:r>
        <w:rPr>
          <w:rFonts w:ascii="Times New Roman" w:eastAsia="仿宋_GB2312" w:hAnsi="Times New Roman" w:cs="Times New Roman" w:hint="eastAsia"/>
          <w:color w:val="auto"/>
          <w:sz w:val="32"/>
          <w:szCs w:val="32"/>
          <w:lang w:eastAsia="zh-CN"/>
        </w:rPr>
        <w:t>请按照《中央财政衔接推进乡村振兴补助资金管理办法》（财农〔</w:t>
      </w:r>
      <w:r>
        <w:rPr>
          <w:rFonts w:ascii="Times New Roman" w:eastAsia="仿宋_GB2312" w:hAnsi="Times New Roman" w:cs="Times New Roman" w:hint="eastAsia"/>
          <w:color w:val="auto"/>
          <w:sz w:val="32"/>
          <w:szCs w:val="32"/>
          <w:lang w:eastAsia="zh-CN"/>
        </w:rPr>
        <w:t>2021</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eastAsia"/>
          <w:color w:val="auto"/>
          <w:sz w:val="32"/>
          <w:szCs w:val="32"/>
          <w:lang w:eastAsia="zh-CN"/>
        </w:rPr>
        <w:t>19</w:t>
      </w:r>
      <w:r>
        <w:rPr>
          <w:rFonts w:ascii="Times New Roman" w:eastAsia="仿宋_GB2312" w:hAnsi="Times New Roman" w:cs="Times New Roman" w:hint="eastAsia"/>
          <w:color w:val="auto"/>
          <w:sz w:val="32"/>
          <w:szCs w:val="32"/>
          <w:lang w:eastAsia="zh-CN"/>
        </w:rPr>
        <w:t>号）《湖北省财政衔接推进乡村振兴补助资金管理办法》（鄂财农</w:t>
      </w:r>
      <w:r>
        <w:rPr>
          <w:rFonts w:ascii="Times New Roman" w:eastAsia="仿宋_GB2312" w:hAnsi="Times New Roman" w:cs="Times New Roman" w:hint="eastAsia"/>
          <w:color w:val="auto"/>
          <w:sz w:val="32"/>
          <w:szCs w:val="32"/>
          <w:lang w:eastAsia="zh-CN"/>
        </w:rPr>
        <w:lastRenderedPageBreak/>
        <w:t>发〔</w:t>
      </w:r>
      <w:r>
        <w:rPr>
          <w:rFonts w:ascii="Times New Roman" w:eastAsia="仿宋_GB2312" w:hAnsi="Times New Roman" w:cs="Times New Roman" w:hint="eastAsia"/>
          <w:color w:val="auto"/>
          <w:sz w:val="32"/>
          <w:szCs w:val="32"/>
          <w:lang w:eastAsia="zh-CN"/>
        </w:rPr>
        <w:t>2021</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eastAsia"/>
          <w:color w:val="auto"/>
          <w:sz w:val="32"/>
          <w:szCs w:val="32"/>
          <w:lang w:eastAsia="zh-CN"/>
        </w:rPr>
        <w:t>25</w:t>
      </w:r>
      <w:r>
        <w:rPr>
          <w:rFonts w:ascii="Times New Roman" w:eastAsia="仿宋_GB2312" w:hAnsi="Times New Roman" w:cs="Times New Roman" w:hint="eastAsia"/>
          <w:color w:val="auto"/>
          <w:sz w:val="32"/>
          <w:szCs w:val="32"/>
          <w:lang w:eastAsia="zh-CN"/>
        </w:rPr>
        <w:t>号）等有关文件规定，结合市级下达预算做好预算编制、分解下达等工作，县级财政部门原则上在</w:t>
      </w:r>
      <w:r>
        <w:rPr>
          <w:rFonts w:ascii="Times New Roman" w:eastAsia="仿宋_GB2312" w:hAnsi="Times New Roman" w:cs="Times New Roman" w:hint="eastAsia"/>
          <w:color w:val="auto"/>
          <w:sz w:val="32"/>
          <w:szCs w:val="32"/>
          <w:lang w:eastAsia="zh-CN"/>
        </w:rPr>
        <w:t>30</w:t>
      </w:r>
      <w:r>
        <w:rPr>
          <w:rFonts w:ascii="Times New Roman" w:eastAsia="仿宋_GB2312" w:hAnsi="Times New Roman" w:cs="Times New Roman" w:hint="eastAsia"/>
          <w:color w:val="auto"/>
          <w:sz w:val="32"/>
          <w:szCs w:val="32"/>
          <w:lang w:eastAsia="zh-CN"/>
        </w:rPr>
        <w:t>日内将上级财政下达的中央衔接资金预算指标细化到具体项目和单位，完成下达预算的完整流程。</w:t>
      </w:r>
    </w:p>
    <w:p w:rsidR="00817B11" w:rsidRDefault="00EF66DB">
      <w:pPr>
        <w:pStyle w:val="a3"/>
        <w:widowControl w:val="0"/>
        <w:kinsoku/>
        <w:autoSpaceDE/>
        <w:autoSpaceDN/>
        <w:adjustRightInd/>
        <w:snapToGrid/>
        <w:spacing w:line="620" w:lineRule="exact"/>
        <w:ind w:firstLineChars="200" w:firstLine="643"/>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b/>
          <w:bCs/>
          <w:color w:val="auto"/>
          <w:sz w:val="32"/>
          <w:szCs w:val="32"/>
          <w:lang w:eastAsia="zh-CN"/>
        </w:rPr>
        <w:t>二、突出衔接资金支持重点。</w:t>
      </w:r>
      <w:r>
        <w:rPr>
          <w:rFonts w:ascii="Times New Roman" w:eastAsia="仿宋_GB2312" w:hAnsi="Times New Roman" w:cs="Times New Roman" w:hint="eastAsia"/>
          <w:color w:val="auto"/>
          <w:sz w:val="32"/>
          <w:szCs w:val="32"/>
          <w:lang w:eastAsia="zh-CN"/>
        </w:rPr>
        <w:t>请认真贯彻落实党的二十大和二十届二中、三中全会精神，以及《中共中央</w:t>
      </w:r>
      <w:r>
        <w:rPr>
          <w:rFonts w:ascii="Times New Roman" w:eastAsia="仿宋_GB2312" w:hAnsi="Times New Roman" w:cs="Times New Roman" w:hint="eastAsia"/>
          <w:color w:val="auto"/>
          <w:sz w:val="32"/>
          <w:szCs w:val="32"/>
          <w:lang w:eastAsia="zh-CN"/>
        </w:rPr>
        <w:t xml:space="preserve">  </w:t>
      </w:r>
      <w:r>
        <w:rPr>
          <w:rFonts w:ascii="Times New Roman" w:eastAsia="仿宋_GB2312" w:hAnsi="Times New Roman" w:cs="Times New Roman" w:hint="eastAsia"/>
          <w:color w:val="auto"/>
          <w:sz w:val="32"/>
          <w:szCs w:val="32"/>
          <w:lang w:eastAsia="zh-CN"/>
        </w:rPr>
        <w:t>国务院关于学习运用“千村示范、万村整治”工程经验有力有效推进乡村全面振兴的意见》《中共湖北省委</w:t>
      </w:r>
      <w:r>
        <w:rPr>
          <w:rFonts w:ascii="Times New Roman" w:eastAsia="仿宋_GB2312" w:hAnsi="Times New Roman" w:cs="Times New Roman" w:hint="eastAsia"/>
          <w:color w:val="auto"/>
          <w:sz w:val="32"/>
          <w:szCs w:val="32"/>
          <w:lang w:eastAsia="zh-CN"/>
        </w:rPr>
        <w:t xml:space="preserve">  </w:t>
      </w:r>
      <w:r>
        <w:rPr>
          <w:rFonts w:ascii="Times New Roman" w:eastAsia="仿宋_GB2312" w:hAnsi="Times New Roman" w:cs="Times New Roman" w:hint="eastAsia"/>
          <w:color w:val="auto"/>
          <w:sz w:val="32"/>
          <w:szCs w:val="32"/>
          <w:lang w:eastAsia="zh-CN"/>
        </w:rPr>
        <w:t>湖北省人民政府关于实现巩固拓展脱贫攻坚成果同乡村振兴有效衔接的实施意见》（鄂发〔</w:t>
      </w:r>
      <w:r>
        <w:rPr>
          <w:rFonts w:ascii="Times New Roman" w:eastAsia="仿宋_GB2312" w:hAnsi="Times New Roman" w:cs="Times New Roman" w:hint="eastAsia"/>
          <w:color w:val="auto"/>
          <w:sz w:val="32"/>
          <w:szCs w:val="32"/>
          <w:lang w:eastAsia="zh-CN"/>
        </w:rPr>
        <w:t>2021</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eastAsia"/>
          <w:color w:val="auto"/>
          <w:sz w:val="32"/>
          <w:szCs w:val="32"/>
          <w:lang w:eastAsia="zh-CN"/>
        </w:rPr>
        <w:t>12</w:t>
      </w:r>
      <w:r>
        <w:rPr>
          <w:rFonts w:ascii="Times New Roman" w:eastAsia="仿宋_GB2312" w:hAnsi="Times New Roman" w:cs="Times New Roman" w:hint="eastAsia"/>
          <w:color w:val="auto"/>
          <w:sz w:val="32"/>
          <w:szCs w:val="32"/>
          <w:lang w:eastAsia="zh-CN"/>
        </w:rPr>
        <w:t>号）、省财政厅等</w:t>
      </w:r>
      <w:r>
        <w:rPr>
          <w:rFonts w:ascii="Times New Roman" w:eastAsia="仿宋_GB2312" w:hAnsi="Times New Roman" w:cs="Times New Roman" w:hint="eastAsia"/>
          <w:color w:val="auto"/>
          <w:sz w:val="32"/>
          <w:szCs w:val="32"/>
          <w:lang w:eastAsia="zh-CN"/>
        </w:rPr>
        <w:t>6</w:t>
      </w:r>
      <w:r>
        <w:rPr>
          <w:rFonts w:ascii="Times New Roman" w:eastAsia="仿宋_GB2312" w:hAnsi="Times New Roman" w:cs="Times New Roman" w:hint="eastAsia"/>
          <w:color w:val="auto"/>
          <w:sz w:val="32"/>
          <w:szCs w:val="32"/>
          <w:lang w:eastAsia="zh-CN"/>
        </w:rPr>
        <w:t>部门《关于加强财政衔接推进乡村振兴补助资金使用管理的指导意见》（鄂财农发〔</w:t>
      </w:r>
      <w:r>
        <w:rPr>
          <w:rFonts w:ascii="Times New Roman" w:eastAsia="仿宋_GB2312" w:hAnsi="Times New Roman" w:cs="Times New Roman" w:hint="eastAsia"/>
          <w:color w:val="auto"/>
          <w:sz w:val="32"/>
          <w:szCs w:val="32"/>
          <w:lang w:eastAsia="zh-CN"/>
        </w:rPr>
        <w:t>2022</w:t>
      </w:r>
      <w:r>
        <w:rPr>
          <w:rFonts w:ascii="Times New Roman" w:eastAsia="仿宋_GB2312" w:hAnsi="Times New Roman" w:cs="Times New Roman" w:hint="eastAsia"/>
          <w:color w:val="auto"/>
          <w:sz w:val="32"/>
          <w:szCs w:val="32"/>
          <w:lang w:eastAsia="zh-CN"/>
        </w:rPr>
        <w:t>〕</w:t>
      </w:r>
      <w:r>
        <w:rPr>
          <w:rFonts w:ascii="Times New Roman" w:eastAsia="仿宋_GB2312" w:hAnsi="Times New Roman" w:cs="Times New Roman" w:hint="eastAsia"/>
          <w:color w:val="auto"/>
          <w:sz w:val="32"/>
          <w:szCs w:val="32"/>
          <w:lang w:eastAsia="zh-CN"/>
        </w:rPr>
        <w:t>53</w:t>
      </w:r>
      <w:r>
        <w:rPr>
          <w:rFonts w:ascii="Times New Roman" w:eastAsia="仿宋_GB2312" w:hAnsi="Times New Roman" w:cs="Times New Roman" w:hint="eastAsia"/>
          <w:color w:val="auto"/>
          <w:sz w:val="32"/>
          <w:szCs w:val="32"/>
          <w:lang w:eastAsia="zh-CN"/>
        </w:rPr>
        <w:t>号）等要求，督促相关部门加强项目谋划等前期工作，突出衔接资金支持重点，保持中央财政衔接资金用于产业发展的比例总体稳定，优先支持联农带农富农产业发</w:t>
      </w:r>
      <w:r>
        <w:rPr>
          <w:rFonts w:ascii="Times New Roman" w:eastAsia="仿宋_GB2312" w:hAnsi="Times New Roman" w:cs="Times New Roman" w:hint="eastAsia"/>
          <w:color w:val="auto"/>
          <w:sz w:val="32"/>
          <w:szCs w:val="32"/>
          <w:lang w:eastAsia="zh-CN"/>
        </w:rPr>
        <w:t>展，健全完善利益联结机制，促进补上其他短板弱项，推动巩固拓展脱贫攻坚成果，衔接推进乡村振兴。</w:t>
      </w:r>
    </w:p>
    <w:p w:rsidR="00817B11" w:rsidRDefault="00EF66DB">
      <w:pPr>
        <w:pStyle w:val="a3"/>
        <w:widowControl w:val="0"/>
        <w:kinsoku/>
        <w:autoSpaceDE/>
        <w:autoSpaceDN/>
        <w:adjustRightInd/>
        <w:snapToGrid/>
        <w:spacing w:line="620" w:lineRule="exact"/>
        <w:ind w:firstLineChars="200" w:firstLine="643"/>
        <w:jc w:val="both"/>
        <w:rPr>
          <w:rFonts w:ascii="Times New Roman" w:eastAsia="仿宋_GB2312" w:hAnsi="Times New Roman" w:cs="Times New Roman"/>
          <w:color w:val="auto"/>
          <w:sz w:val="32"/>
          <w:szCs w:val="32"/>
          <w:lang w:eastAsia="zh-CN"/>
        </w:rPr>
      </w:pPr>
      <w:r>
        <w:rPr>
          <w:rFonts w:ascii="Times New Roman" w:eastAsia="仿宋_GB2312" w:hAnsi="Times New Roman" w:cs="Times New Roman" w:hint="eastAsia"/>
          <w:b/>
          <w:bCs/>
          <w:color w:val="auto"/>
          <w:sz w:val="32"/>
          <w:szCs w:val="32"/>
          <w:lang w:eastAsia="zh-CN"/>
        </w:rPr>
        <w:t>三、认真落实预算执行常态化监督有关要求。</w:t>
      </w:r>
      <w:r>
        <w:rPr>
          <w:rFonts w:ascii="Times New Roman" w:eastAsia="仿宋_GB2312" w:hAnsi="Times New Roman" w:cs="Times New Roman" w:hint="eastAsia"/>
          <w:color w:val="auto"/>
          <w:sz w:val="32"/>
          <w:szCs w:val="32"/>
          <w:lang w:eastAsia="zh-CN"/>
        </w:rPr>
        <w:t>此次下达的中央财政衔接资金列入转移支付预算执行常态化监督范围，各级财政部门要在预算管理一体化系统及时接收登录预算指标，并保持“追踪”标识不变，将资金分解落实到单位和具体项目时，对资金来源既包含中央财政衔接资金又包含地方对应安排</w:t>
      </w:r>
      <w:r>
        <w:rPr>
          <w:rFonts w:ascii="Times New Roman" w:eastAsia="仿宋_GB2312" w:hAnsi="Times New Roman" w:cs="Times New Roman" w:hint="eastAsia"/>
          <w:color w:val="auto"/>
          <w:sz w:val="32"/>
          <w:szCs w:val="32"/>
          <w:lang w:eastAsia="zh-CN"/>
        </w:rPr>
        <w:lastRenderedPageBreak/>
        <w:t>资金的，应在预算指标文件、预算管理一体化系统中按资金明细来源分别列示和登录预算指标。各级财政部门要依托预算管理一体化系统转移支付监控模板，加强日常监管，</w:t>
      </w:r>
      <w:r>
        <w:rPr>
          <w:rFonts w:ascii="Times New Roman" w:eastAsia="仿宋_GB2312" w:hAnsi="Times New Roman" w:cs="Times New Roman" w:hint="eastAsia"/>
          <w:color w:val="auto"/>
          <w:sz w:val="32"/>
          <w:szCs w:val="32"/>
          <w:lang w:eastAsia="zh-CN"/>
        </w:rPr>
        <w:t>提高转移支付资金管理使用的规范性和有效性。</w:t>
      </w:r>
    </w:p>
    <w:p w:rsidR="00817B11" w:rsidRDefault="00EF66DB">
      <w:pPr>
        <w:pStyle w:val="a3"/>
        <w:widowControl w:val="0"/>
        <w:kinsoku/>
        <w:autoSpaceDE/>
        <w:autoSpaceDN/>
        <w:adjustRightInd/>
        <w:snapToGrid/>
        <w:spacing w:line="620" w:lineRule="exact"/>
        <w:ind w:leftChars="304" w:left="1918" w:hangingChars="400" w:hanging="128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附件：</w:t>
      </w: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lang w:eastAsia="zh-CN"/>
        </w:rPr>
        <w:t>5</w:t>
      </w:r>
      <w:r>
        <w:rPr>
          <w:rFonts w:ascii="Times New Roman" w:eastAsia="仿宋_GB2312" w:hAnsi="Times New Roman" w:cs="Times New Roman"/>
          <w:color w:val="auto"/>
          <w:sz w:val="32"/>
          <w:szCs w:val="32"/>
        </w:rPr>
        <w:t>年中央财政衔接推进乡村振兴补助资金分配表</w:t>
      </w:r>
    </w:p>
    <w:p w:rsidR="00817B11" w:rsidRDefault="00817B11">
      <w:pPr>
        <w:pStyle w:val="a3"/>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pStyle w:val="a3"/>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pStyle w:val="a3"/>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EF66DB">
      <w:pPr>
        <w:widowControl w:val="0"/>
        <w:kinsoku/>
        <w:autoSpaceDE/>
        <w:autoSpaceDN/>
        <w:adjustRightInd/>
        <w:snapToGrid/>
        <w:spacing w:line="620" w:lineRule="exact"/>
        <w:ind w:firstLineChars="1600" w:firstLine="512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w:t>
      </w:r>
      <w:r>
        <w:rPr>
          <w:rFonts w:ascii="Times New Roman" w:eastAsia="仿宋_GB2312" w:hAnsi="Times New Roman" w:cs="Times New Roman" w:hint="eastAsia"/>
          <w:color w:val="auto"/>
          <w:sz w:val="32"/>
          <w:szCs w:val="32"/>
          <w:lang w:eastAsia="zh-CN"/>
        </w:rPr>
        <w:t>5</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月</w:t>
      </w:r>
      <w:r>
        <w:rPr>
          <w:rFonts w:ascii="Times New Roman" w:eastAsia="仿宋_GB2312" w:hAnsi="Times New Roman" w:cs="Times New Roman" w:hint="eastAsia"/>
          <w:color w:val="auto"/>
          <w:sz w:val="32"/>
          <w:szCs w:val="32"/>
          <w:lang w:eastAsia="zh-CN"/>
        </w:rPr>
        <w:t>6</w:t>
      </w:r>
      <w:r>
        <w:rPr>
          <w:rFonts w:ascii="Times New Roman" w:eastAsia="仿宋_GB2312" w:hAnsi="Times New Roman" w:cs="Times New Roman"/>
          <w:color w:val="auto"/>
          <w:sz w:val="32"/>
          <w:szCs w:val="32"/>
        </w:rPr>
        <w:t>日</w:t>
      </w: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bookmarkStart w:id="0" w:name="_GoBack"/>
      <w:bookmarkEnd w:id="0"/>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EF66DB">
      <w:pPr>
        <w:widowControl w:val="0"/>
        <w:kinsoku/>
        <w:autoSpaceDE/>
        <w:autoSpaceDN/>
        <w:adjustRightInd/>
        <w:snapToGrid/>
        <w:ind w:firstLineChars="100" w:firstLine="320"/>
        <w:jc w:val="both"/>
        <w:textAlignment w:val="auto"/>
        <w:rPr>
          <w:rFonts w:ascii="Times New Roman" w:eastAsia="方正仿宋简体" w:hAnsi="Times New Roman" w:cs="Times New Roman"/>
          <w:sz w:val="32"/>
          <w:szCs w:val="32"/>
        </w:rPr>
      </w:pPr>
      <w:r>
        <w:rPr>
          <w:rFonts w:ascii="Times New Roman" w:eastAsia="黑体" w:hAnsi="Times New Roman" w:cs="Times New Roman"/>
          <w:sz w:val="32"/>
          <w:szCs w:val="32"/>
        </w:rPr>
        <w:t>信息公开选项</w:t>
      </w:r>
      <w:r>
        <w:rPr>
          <w:rFonts w:ascii="Times New Roman" w:eastAsia="黑体" w:hAnsi="Times New Roman" w:cs="Times New Roman" w:hint="eastAsia"/>
          <w:sz w:val="32"/>
          <w:szCs w:val="32"/>
          <w:lang w:eastAsia="zh-CN"/>
        </w:rPr>
        <w:t>：</w:t>
      </w:r>
      <w:r>
        <w:rPr>
          <w:rFonts w:ascii="Times New Roman" w:eastAsia="方正仿宋简体" w:hAnsi="Times New Roman" w:cs="Times New Roman" w:hint="eastAsia"/>
          <w:sz w:val="32"/>
          <w:szCs w:val="32"/>
          <w:lang w:eastAsia="zh-CN"/>
        </w:rPr>
        <w:t>主动</w:t>
      </w:r>
      <w:r>
        <w:rPr>
          <w:rFonts w:ascii="Times New Roman" w:eastAsia="方正仿宋简体" w:hAnsi="Times New Roman" w:cs="Times New Roman"/>
          <w:sz w:val="32"/>
          <w:szCs w:val="32"/>
        </w:rPr>
        <w:t>公开</w:t>
      </w:r>
    </w:p>
    <w:p w:rsidR="00817B11" w:rsidRDefault="00EF66DB">
      <w:pPr>
        <w:widowControl w:val="0"/>
        <w:pBdr>
          <w:top w:val="single" w:sz="6" w:space="1" w:color="auto"/>
          <w:bottom w:val="single" w:sz="6" w:space="1" w:color="auto"/>
        </w:pBdr>
        <w:tabs>
          <w:tab w:val="left" w:pos="8218"/>
        </w:tabs>
        <w:kinsoku/>
        <w:autoSpaceDE/>
        <w:autoSpaceDN/>
        <w:adjustRightInd/>
        <w:snapToGrid/>
        <w:spacing w:line="600" w:lineRule="exact"/>
        <w:ind w:firstLineChars="100" w:firstLine="320"/>
        <w:textAlignment w:val="auto"/>
        <w:rPr>
          <w:lang w:eastAsia="zh-CN"/>
        </w:rPr>
      </w:pPr>
      <w:r>
        <w:rPr>
          <w:rFonts w:ascii="Times New Roman" w:eastAsia="方正仿宋简体" w:hAnsi="Times New Roman" w:cs="Times New Roman"/>
          <w:sz w:val="32"/>
          <w:szCs w:val="32"/>
        </w:rPr>
        <w:t>随州市财政局办公室</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lang w:eastAsia="zh-CN"/>
        </w:rPr>
        <w:t xml:space="preserve">  </w:t>
      </w:r>
      <w:r>
        <w:rPr>
          <w:rFonts w:ascii="Times New Roman" w:eastAsia="方正仿宋简体" w:hAnsi="Times New Roman" w:cs="Times New Roman"/>
          <w:sz w:val="32"/>
          <w:szCs w:val="32"/>
        </w:rPr>
        <w:t xml:space="preserve">      </w:t>
      </w:r>
      <w:r>
        <w:rPr>
          <w:rFonts w:ascii="Times New Roman" w:eastAsia="方正仿宋简体" w:hAnsi="Times New Roman" w:cs="Times New Roman" w:hint="eastAsia"/>
          <w:sz w:val="32"/>
          <w:szCs w:val="32"/>
          <w:lang w:eastAsia="zh-CN"/>
        </w:rPr>
        <w:t xml:space="preserve">                    </w:t>
      </w:r>
      <w:r>
        <w:rPr>
          <w:rFonts w:ascii="Times New Roman" w:eastAsia="方正仿宋简体" w:hAnsi="Times New Roman" w:cs="Times New Roman"/>
          <w:sz w:val="32"/>
          <w:szCs w:val="32"/>
        </w:rPr>
        <w:t>202</w:t>
      </w:r>
      <w:r>
        <w:rPr>
          <w:rFonts w:ascii="Times New Roman" w:eastAsia="方正仿宋简体" w:hAnsi="Times New Roman" w:cs="Times New Roman" w:hint="eastAsia"/>
          <w:sz w:val="32"/>
          <w:szCs w:val="32"/>
          <w:lang w:eastAsia="zh-CN"/>
        </w:rPr>
        <w:t>5</w:t>
      </w:r>
      <w:r>
        <w:rPr>
          <w:rFonts w:ascii="Times New Roman" w:eastAsia="方正仿宋简体" w:hAnsi="Times New Roman" w:cs="Times New Roman"/>
          <w:sz w:val="32"/>
          <w:szCs w:val="32"/>
        </w:rPr>
        <w:t>年</w:t>
      </w:r>
      <w:r>
        <w:rPr>
          <w:rFonts w:ascii="Times New Roman" w:eastAsia="方正仿宋简体" w:hAnsi="Times New Roman" w:cs="Times New Roman" w:hint="eastAsia"/>
          <w:sz w:val="32"/>
          <w:szCs w:val="32"/>
          <w:lang w:eastAsia="zh-CN"/>
        </w:rPr>
        <w:t>1</w:t>
      </w:r>
      <w:r>
        <w:rPr>
          <w:rFonts w:ascii="Times New Roman" w:eastAsia="方正仿宋简体" w:hAnsi="Times New Roman" w:cs="Times New Roman"/>
          <w:sz w:val="32"/>
          <w:szCs w:val="32"/>
        </w:rPr>
        <w:t>月</w:t>
      </w:r>
      <w:r>
        <w:rPr>
          <w:rFonts w:ascii="Times New Roman" w:eastAsia="方正仿宋简体" w:hAnsi="Times New Roman" w:cs="Times New Roman" w:hint="eastAsia"/>
          <w:sz w:val="32"/>
          <w:szCs w:val="32"/>
          <w:lang w:eastAsia="zh-CN"/>
        </w:rPr>
        <w:t>6</w:t>
      </w:r>
      <w:r>
        <w:rPr>
          <w:rFonts w:ascii="Times New Roman" w:eastAsia="方正仿宋简体" w:hAnsi="Times New Roman" w:cs="Times New Roman"/>
          <w:sz w:val="32"/>
          <w:szCs w:val="32"/>
        </w:rPr>
        <w:t>日印发</w:t>
      </w:r>
    </w:p>
    <w:p w:rsidR="00817B11" w:rsidRDefault="00817B11">
      <w:pPr>
        <w:widowControl w:val="0"/>
        <w:kinsoku/>
        <w:autoSpaceDE/>
        <w:autoSpaceDN/>
        <w:adjustRightInd/>
        <w:snapToGrid/>
        <w:spacing w:line="620" w:lineRule="exact"/>
        <w:jc w:val="both"/>
        <w:rPr>
          <w:rFonts w:ascii="Times New Roman" w:eastAsia="仿宋_GB2312" w:hAnsi="Times New Roman" w:cs="Times New Roman"/>
          <w:color w:val="auto"/>
          <w:sz w:val="32"/>
          <w:szCs w:val="32"/>
        </w:rPr>
        <w:sectPr w:rsidR="00817B11">
          <w:pgSz w:w="12081" w:h="16940"/>
          <w:pgMar w:top="1984" w:right="1587" w:bottom="1814" w:left="1587" w:header="0" w:footer="1417" w:gutter="0"/>
          <w:cols w:space="0"/>
        </w:sectPr>
      </w:pPr>
    </w:p>
    <w:p w:rsidR="00817B11" w:rsidRDefault="00EF66DB">
      <w:pPr>
        <w:spacing w:before="52" w:line="227" w:lineRule="auto"/>
        <w:rPr>
          <w:rFonts w:ascii="Times New Roman" w:eastAsia="黑体" w:hAnsi="Times New Roman" w:cs="Times New Roman"/>
          <w:spacing w:val="8"/>
          <w:sz w:val="32"/>
          <w:szCs w:val="32"/>
        </w:rPr>
      </w:pPr>
      <w:r>
        <w:rPr>
          <w:rFonts w:ascii="Times New Roman" w:eastAsia="黑体" w:hAnsi="Times New Roman" w:cs="Times New Roman"/>
          <w:spacing w:val="8"/>
          <w:sz w:val="32"/>
          <w:szCs w:val="32"/>
        </w:rPr>
        <w:lastRenderedPageBreak/>
        <w:t>附件</w:t>
      </w:r>
    </w:p>
    <w:p w:rsidR="00817B11" w:rsidRDefault="00817B11">
      <w:pPr>
        <w:spacing w:before="52" w:line="227" w:lineRule="auto"/>
        <w:rPr>
          <w:rFonts w:ascii="Times New Roman" w:eastAsia="黑体" w:hAnsi="Times New Roman" w:cs="Times New Roman"/>
          <w:spacing w:val="8"/>
          <w:sz w:val="32"/>
          <w:szCs w:val="32"/>
        </w:rPr>
      </w:pPr>
    </w:p>
    <w:p w:rsidR="00817B11" w:rsidRDefault="00EF66DB">
      <w:pPr>
        <w:spacing w:before="161" w:line="219" w:lineRule="auto"/>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hint="eastAsia"/>
          <w:sz w:val="40"/>
          <w:szCs w:val="40"/>
        </w:rPr>
        <w:t>202</w:t>
      </w:r>
      <w:r>
        <w:rPr>
          <w:rFonts w:ascii="方正大标宋简体" w:eastAsia="方正大标宋简体" w:hAnsi="方正大标宋简体" w:cs="方正大标宋简体" w:hint="eastAsia"/>
          <w:sz w:val="40"/>
          <w:szCs w:val="40"/>
          <w:lang w:eastAsia="zh-CN"/>
        </w:rPr>
        <w:t>5</w:t>
      </w:r>
      <w:r>
        <w:rPr>
          <w:rFonts w:ascii="方正大标宋简体" w:eastAsia="方正大标宋简体" w:hAnsi="方正大标宋简体" w:cs="方正大标宋简体" w:hint="eastAsia"/>
          <w:sz w:val="40"/>
          <w:szCs w:val="40"/>
        </w:rPr>
        <w:t>年中央财政衔接推进乡村振兴补助资金分配表</w:t>
      </w:r>
    </w:p>
    <w:p w:rsidR="00817B11" w:rsidRDefault="00EF66DB">
      <w:pPr>
        <w:spacing w:before="181" w:line="22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7"/>
        </w:rPr>
        <w:t>单位：万元</w:t>
      </w:r>
    </w:p>
    <w:tbl>
      <w:tblPr>
        <w:tblStyle w:val="TableNormal"/>
        <w:tblpPr w:leftFromText="180" w:rightFromText="180" w:vertAnchor="text" w:horzAnchor="page" w:tblpX="1706" w:tblpY="456"/>
        <w:tblOverlap w:val="never"/>
        <w:tblW w:w="49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9"/>
        <w:gridCol w:w="764"/>
        <w:gridCol w:w="816"/>
        <w:gridCol w:w="1149"/>
        <w:gridCol w:w="1116"/>
        <w:gridCol w:w="1634"/>
        <w:gridCol w:w="750"/>
        <w:gridCol w:w="1317"/>
        <w:gridCol w:w="943"/>
        <w:gridCol w:w="1031"/>
        <w:gridCol w:w="783"/>
        <w:gridCol w:w="1199"/>
        <w:gridCol w:w="1179"/>
      </w:tblGrid>
      <w:tr w:rsidR="00817B11">
        <w:trPr>
          <w:trHeight w:val="978"/>
        </w:trPr>
        <w:tc>
          <w:tcPr>
            <w:tcW w:w="395" w:type="pct"/>
            <w:vMerge w:val="restart"/>
            <w:tcBorders>
              <w:bottom w:val="nil"/>
            </w:tcBorders>
            <w:vAlign w:val="center"/>
          </w:tcPr>
          <w:p w:rsidR="00817B11" w:rsidRDefault="00817B11">
            <w:pPr>
              <w:widowControl w:val="0"/>
              <w:spacing w:line="322" w:lineRule="auto"/>
              <w:jc w:val="center"/>
              <w:rPr>
                <w:rFonts w:ascii="黑体" w:eastAsia="黑体" w:hAnsi="黑体" w:cs="黑体"/>
                <w:sz w:val="20"/>
                <w:szCs w:val="20"/>
              </w:rPr>
            </w:pPr>
          </w:p>
          <w:p w:rsidR="00817B11" w:rsidRDefault="00817B11">
            <w:pPr>
              <w:widowControl w:val="0"/>
              <w:spacing w:line="323" w:lineRule="auto"/>
              <w:jc w:val="center"/>
              <w:rPr>
                <w:rFonts w:ascii="黑体" w:eastAsia="黑体" w:hAnsi="黑体" w:cs="黑体"/>
                <w:sz w:val="20"/>
                <w:szCs w:val="20"/>
              </w:rPr>
            </w:pPr>
          </w:p>
          <w:p w:rsidR="00817B11" w:rsidRDefault="00EF66DB">
            <w:pPr>
              <w:pStyle w:val="TableText"/>
              <w:widowControl w:val="0"/>
              <w:jc w:val="center"/>
              <w:rPr>
                <w:rFonts w:ascii="黑体" w:eastAsia="黑体" w:hAnsi="黑体" w:cs="黑体"/>
                <w:sz w:val="20"/>
                <w:szCs w:val="20"/>
              </w:rPr>
            </w:pPr>
            <w:r>
              <w:rPr>
                <w:rFonts w:ascii="黑体" w:eastAsia="黑体" w:hAnsi="黑体" w:cs="黑体" w:hint="eastAsia"/>
                <w:sz w:val="20"/>
                <w:szCs w:val="20"/>
              </w:rPr>
              <w:t>市县</w:t>
            </w:r>
          </w:p>
        </w:tc>
        <w:tc>
          <w:tcPr>
            <w:tcW w:w="277" w:type="pct"/>
            <w:vMerge w:val="restart"/>
            <w:vAlign w:val="center"/>
          </w:tcPr>
          <w:p w:rsidR="00817B11" w:rsidRDefault="00EF66DB">
            <w:pPr>
              <w:pStyle w:val="TableText"/>
              <w:widowControl w:val="0"/>
              <w:spacing w:line="219" w:lineRule="auto"/>
              <w:jc w:val="center"/>
              <w:rPr>
                <w:rFonts w:ascii="黑体" w:eastAsia="黑体" w:hAnsi="黑体" w:cs="黑体"/>
                <w:sz w:val="20"/>
                <w:szCs w:val="20"/>
                <w:lang w:eastAsia="zh-CN"/>
              </w:rPr>
            </w:pPr>
            <w:r>
              <w:rPr>
                <w:rFonts w:ascii="黑体" w:eastAsia="黑体" w:hAnsi="黑体" w:cs="黑体" w:hint="eastAsia"/>
                <w:sz w:val="20"/>
                <w:szCs w:val="20"/>
                <w:lang w:eastAsia="zh-CN"/>
              </w:rPr>
              <w:t>中央资金合计</w:t>
            </w:r>
          </w:p>
        </w:tc>
        <w:tc>
          <w:tcPr>
            <w:tcW w:w="2802" w:type="pct"/>
            <w:gridSpan w:val="7"/>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巩固拓展脱贫攻坚成果和乡村振兴任务</w:t>
            </w:r>
          </w:p>
        </w:tc>
        <w:tc>
          <w:tcPr>
            <w:tcW w:w="374" w:type="pct"/>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少数民族</w:t>
            </w:r>
          </w:p>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发展任务</w:t>
            </w:r>
          </w:p>
        </w:tc>
        <w:tc>
          <w:tcPr>
            <w:tcW w:w="284" w:type="pct"/>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以工代赈任务</w:t>
            </w:r>
          </w:p>
        </w:tc>
        <w:tc>
          <w:tcPr>
            <w:tcW w:w="435" w:type="pct"/>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欠发达国有农场巩固提升任务</w:t>
            </w:r>
          </w:p>
        </w:tc>
        <w:tc>
          <w:tcPr>
            <w:tcW w:w="428" w:type="pct"/>
            <w:vAlign w:val="center"/>
          </w:tcPr>
          <w:p w:rsidR="00817B11" w:rsidRDefault="00EF66DB">
            <w:pPr>
              <w:pStyle w:val="TableText"/>
              <w:widowControl w:val="0"/>
              <w:spacing w:line="207" w:lineRule="auto"/>
              <w:jc w:val="center"/>
              <w:rPr>
                <w:rFonts w:ascii="黑体" w:eastAsia="黑体" w:hAnsi="黑体" w:cs="黑体"/>
                <w:sz w:val="20"/>
                <w:szCs w:val="20"/>
              </w:rPr>
            </w:pPr>
            <w:r>
              <w:rPr>
                <w:rFonts w:ascii="黑体" w:eastAsia="黑体" w:hAnsi="黑体" w:cs="黑体" w:hint="eastAsia"/>
                <w:sz w:val="20"/>
                <w:szCs w:val="20"/>
              </w:rPr>
              <w:t>欠发达国有林场巩固提升任务</w:t>
            </w:r>
          </w:p>
        </w:tc>
      </w:tr>
      <w:tr w:rsidR="00817B11">
        <w:trPr>
          <w:trHeight w:val="592"/>
        </w:trPr>
        <w:tc>
          <w:tcPr>
            <w:tcW w:w="395" w:type="pct"/>
            <w:vMerge/>
            <w:tcBorders>
              <w:top w:val="nil"/>
              <w:bottom w:val="nil"/>
            </w:tcBorders>
            <w:vAlign w:val="center"/>
          </w:tcPr>
          <w:p w:rsidR="00817B11" w:rsidRDefault="00817B11">
            <w:pPr>
              <w:widowControl w:val="0"/>
              <w:jc w:val="center"/>
              <w:rPr>
                <w:rFonts w:ascii="黑体" w:eastAsia="黑体" w:hAnsi="黑体" w:cs="黑体"/>
                <w:sz w:val="20"/>
                <w:szCs w:val="20"/>
              </w:rPr>
            </w:pPr>
          </w:p>
        </w:tc>
        <w:tc>
          <w:tcPr>
            <w:tcW w:w="277" w:type="pct"/>
            <w:vMerge/>
            <w:vAlign w:val="center"/>
          </w:tcPr>
          <w:p w:rsidR="00817B11" w:rsidRDefault="00817B11">
            <w:pPr>
              <w:pStyle w:val="TableText"/>
              <w:widowControl w:val="0"/>
              <w:spacing w:line="221" w:lineRule="auto"/>
              <w:jc w:val="center"/>
              <w:rPr>
                <w:rFonts w:ascii="黑体" w:eastAsia="黑体" w:hAnsi="黑体" w:cs="黑体"/>
                <w:sz w:val="20"/>
                <w:szCs w:val="20"/>
              </w:rPr>
            </w:pPr>
          </w:p>
        </w:tc>
        <w:tc>
          <w:tcPr>
            <w:tcW w:w="296" w:type="pct"/>
            <w:vMerge w:val="restart"/>
            <w:tcBorders>
              <w:bottom w:val="nil"/>
            </w:tcBorders>
            <w:vAlign w:val="center"/>
          </w:tcPr>
          <w:p w:rsidR="00817B11" w:rsidRDefault="00817B11">
            <w:pPr>
              <w:widowControl w:val="0"/>
              <w:spacing w:line="443" w:lineRule="auto"/>
              <w:jc w:val="center"/>
              <w:rPr>
                <w:rFonts w:ascii="黑体" w:eastAsia="黑体" w:hAnsi="黑体" w:cs="黑体"/>
                <w:sz w:val="20"/>
                <w:szCs w:val="20"/>
              </w:rPr>
            </w:pPr>
          </w:p>
          <w:p w:rsidR="00817B11" w:rsidRDefault="00EF66DB">
            <w:pPr>
              <w:pStyle w:val="TableText"/>
              <w:widowControl w:val="0"/>
              <w:spacing w:line="221" w:lineRule="auto"/>
              <w:jc w:val="center"/>
              <w:rPr>
                <w:rFonts w:ascii="黑体" w:eastAsia="黑体" w:hAnsi="黑体" w:cs="黑体"/>
                <w:sz w:val="20"/>
                <w:szCs w:val="20"/>
              </w:rPr>
            </w:pPr>
            <w:r>
              <w:rPr>
                <w:rFonts w:ascii="黑体" w:eastAsia="黑体" w:hAnsi="黑体" w:cs="黑体" w:hint="eastAsia"/>
                <w:sz w:val="20"/>
                <w:szCs w:val="20"/>
              </w:rPr>
              <w:t>小计</w:t>
            </w:r>
          </w:p>
        </w:tc>
        <w:tc>
          <w:tcPr>
            <w:tcW w:w="2506" w:type="pct"/>
            <w:gridSpan w:val="6"/>
            <w:vAlign w:val="center"/>
          </w:tcPr>
          <w:p w:rsidR="00817B11" w:rsidRDefault="00EF66DB">
            <w:pPr>
              <w:pStyle w:val="TableText"/>
              <w:widowControl w:val="0"/>
              <w:spacing w:line="220" w:lineRule="auto"/>
              <w:jc w:val="center"/>
              <w:rPr>
                <w:rFonts w:ascii="黑体" w:eastAsia="黑体" w:hAnsi="黑体" w:cs="黑体"/>
                <w:sz w:val="20"/>
                <w:szCs w:val="20"/>
              </w:rPr>
            </w:pPr>
            <w:r>
              <w:rPr>
                <w:rFonts w:ascii="黑体" w:eastAsia="黑体" w:hAnsi="黑体" w:cs="黑体" w:hint="eastAsia"/>
                <w:sz w:val="20"/>
                <w:szCs w:val="20"/>
              </w:rPr>
              <w:t>其</w:t>
            </w:r>
            <w:r>
              <w:rPr>
                <w:rFonts w:ascii="黑体" w:eastAsia="黑体" w:hAnsi="黑体" w:cs="黑体" w:hint="eastAsia"/>
                <w:sz w:val="20"/>
                <w:szCs w:val="20"/>
              </w:rPr>
              <w:t xml:space="preserve"> </w:t>
            </w:r>
            <w:r>
              <w:rPr>
                <w:rFonts w:ascii="黑体" w:eastAsia="黑体" w:hAnsi="黑体" w:cs="黑体" w:hint="eastAsia"/>
                <w:sz w:val="20"/>
                <w:szCs w:val="20"/>
              </w:rPr>
              <w:t>中</w:t>
            </w:r>
          </w:p>
        </w:tc>
        <w:tc>
          <w:tcPr>
            <w:tcW w:w="374" w:type="pct"/>
            <w:vMerge w:val="restart"/>
            <w:tcBorders>
              <w:bottom w:val="nil"/>
            </w:tcBorders>
            <w:vAlign w:val="center"/>
          </w:tcPr>
          <w:p w:rsidR="00817B11" w:rsidRDefault="00817B11">
            <w:pPr>
              <w:widowControl w:val="0"/>
              <w:spacing w:line="443" w:lineRule="auto"/>
              <w:jc w:val="center"/>
              <w:rPr>
                <w:rFonts w:ascii="黑体" w:eastAsia="黑体" w:hAnsi="黑体" w:cs="黑体"/>
                <w:sz w:val="20"/>
                <w:szCs w:val="20"/>
              </w:rPr>
            </w:pPr>
          </w:p>
          <w:p w:rsidR="00817B11" w:rsidRDefault="00EF66DB">
            <w:pPr>
              <w:pStyle w:val="TableText"/>
              <w:widowControl w:val="0"/>
              <w:spacing w:line="221" w:lineRule="auto"/>
              <w:jc w:val="center"/>
              <w:rPr>
                <w:rFonts w:ascii="黑体" w:eastAsia="黑体" w:hAnsi="黑体" w:cs="黑体"/>
                <w:sz w:val="20"/>
                <w:szCs w:val="20"/>
              </w:rPr>
            </w:pPr>
            <w:r>
              <w:rPr>
                <w:rFonts w:ascii="黑体" w:eastAsia="黑体" w:hAnsi="黑体" w:cs="黑体" w:hint="eastAsia"/>
                <w:sz w:val="20"/>
                <w:szCs w:val="20"/>
              </w:rPr>
              <w:t>小计</w:t>
            </w:r>
          </w:p>
        </w:tc>
        <w:tc>
          <w:tcPr>
            <w:tcW w:w="284" w:type="pct"/>
            <w:vMerge w:val="restart"/>
            <w:tcBorders>
              <w:bottom w:val="nil"/>
            </w:tcBorders>
            <w:vAlign w:val="center"/>
          </w:tcPr>
          <w:p w:rsidR="00817B11" w:rsidRDefault="00817B11">
            <w:pPr>
              <w:widowControl w:val="0"/>
              <w:spacing w:line="443" w:lineRule="auto"/>
              <w:jc w:val="center"/>
              <w:rPr>
                <w:rFonts w:ascii="黑体" w:eastAsia="黑体" w:hAnsi="黑体" w:cs="黑体"/>
                <w:sz w:val="20"/>
                <w:szCs w:val="20"/>
              </w:rPr>
            </w:pPr>
          </w:p>
          <w:p w:rsidR="00817B11" w:rsidRDefault="00EF66DB">
            <w:pPr>
              <w:pStyle w:val="TableText"/>
              <w:widowControl w:val="0"/>
              <w:spacing w:line="221" w:lineRule="auto"/>
              <w:jc w:val="center"/>
              <w:rPr>
                <w:rFonts w:ascii="黑体" w:eastAsia="黑体" w:hAnsi="黑体" w:cs="黑体"/>
                <w:sz w:val="20"/>
                <w:szCs w:val="20"/>
                <w:lang w:eastAsia="zh-CN"/>
              </w:rPr>
            </w:pPr>
            <w:r>
              <w:rPr>
                <w:rFonts w:ascii="黑体" w:eastAsia="黑体" w:hAnsi="黑体" w:cs="黑体" w:hint="eastAsia"/>
                <w:sz w:val="20"/>
                <w:szCs w:val="20"/>
                <w:lang w:eastAsia="zh-CN"/>
              </w:rPr>
              <w:t>小计</w:t>
            </w:r>
          </w:p>
        </w:tc>
        <w:tc>
          <w:tcPr>
            <w:tcW w:w="435" w:type="pct"/>
            <w:vMerge w:val="restart"/>
            <w:tcBorders>
              <w:bottom w:val="nil"/>
            </w:tcBorders>
            <w:vAlign w:val="center"/>
          </w:tcPr>
          <w:p w:rsidR="00817B11" w:rsidRDefault="00817B11">
            <w:pPr>
              <w:widowControl w:val="0"/>
              <w:spacing w:line="443" w:lineRule="auto"/>
              <w:jc w:val="center"/>
              <w:rPr>
                <w:rFonts w:ascii="黑体" w:eastAsia="黑体" w:hAnsi="黑体" w:cs="黑体"/>
                <w:sz w:val="20"/>
                <w:szCs w:val="20"/>
              </w:rPr>
            </w:pPr>
          </w:p>
          <w:p w:rsidR="00817B11" w:rsidRDefault="00EF66DB">
            <w:pPr>
              <w:pStyle w:val="TableText"/>
              <w:widowControl w:val="0"/>
              <w:spacing w:line="221" w:lineRule="auto"/>
              <w:jc w:val="center"/>
              <w:rPr>
                <w:rFonts w:ascii="黑体" w:eastAsia="黑体" w:hAnsi="黑体" w:cs="黑体"/>
                <w:sz w:val="20"/>
                <w:szCs w:val="20"/>
              </w:rPr>
            </w:pPr>
            <w:r>
              <w:rPr>
                <w:rFonts w:ascii="黑体" w:eastAsia="黑体" w:hAnsi="黑体" w:cs="黑体" w:hint="eastAsia"/>
                <w:sz w:val="20"/>
                <w:szCs w:val="20"/>
              </w:rPr>
              <w:t>小计</w:t>
            </w:r>
          </w:p>
        </w:tc>
        <w:tc>
          <w:tcPr>
            <w:tcW w:w="428" w:type="pct"/>
            <w:vMerge w:val="restart"/>
            <w:tcBorders>
              <w:bottom w:val="nil"/>
            </w:tcBorders>
            <w:vAlign w:val="center"/>
          </w:tcPr>
          <w:p w:rsidR="00817B11" w:rsidRDefault="00817B11">
            <w:pPr>
              <w:widowControl w:val="0"/>
              <w:spacing w:line="443" w:lineRule="auto"/>
              <w:jc w:val="center"/>
              <w:rPr>
                <w:rFonts w:ascii="黑体" w:eastAsia="黑体" w:hAnsi="黑体" w:cs="黑体"/>
                <w:sz w:val="20"/>
                <w:szCs w:val="20"/>
              </w:rPr>
            </w:pPr>
          </w:p>
          <w:p w:rsidR="00817B11" w:rsidRDefault="00EF66DB">
            <w:pPr>
              <w:pStyle w:val="TableText"/>
              <w:widowControl w:val="0"/>
              <w:spacing w:line="221" w:lineRule="auto"/>
              <w:jc w:val="center"/>
              <w:rPr>
                <w:rFonts w:ascii="黑体" w:eastAsia="黑体" w:hAnsi="黑体" w:cs="黑体"/>
                <w:sz w:val="20"/>
                <w:szCs w:val="20"/>
              </w:rPr>
            </w:pPr>
            <w:r>
              <w:rPr>
                <w:rFonts w:ascii="黑体" w:eastAsia="黑体" w:hAnsi="黑体" w:cs="黑体" w:hint="eastAsia"/>
                <w:sz w:val="20"/>
                <w:szCs w:val="20"/>
              </w:rPr>
              <w:t>小计</w:t>
            </w:r>
          </w:p>
        </w:tc>
      </w:tr>
      <w:tr w:rsidR="00817B11">
        <w:trPr>
          <w:trHeight w:val="620"/>
        </w:trPr>
        <w:tc>
          <w:tcPr>
            <w:tcW w:w="395" w:type="pct"/>
            <w:vMerge/>
            <w:tcBorders>
              <w:top w:val="nil"/>
              <w:bottom w:val="nil"/>
            </w:tcBorders>
            <w:vAlign w:val="center"/>
          </w:tcPr>
          <w:p w:rsidR="00817B11" w:rsidRDefault="00817B11">
            <w:pPr>
              <w:widowControl w:val="0"/>
              <w:jc w:val="center"/>
              <w:rPr>
                <w:rFonts w:ascii="黑体" w:eastAsia="黑体" w:hAnsi="黑体" w:cs="黑体"/>
                <w:sz w:val="20"/>
                <w:szCs w:val="20"/>
              </w:rPr>
            </w:pPr>
          </w:p>
        </w:tc>
        <w:tc>
          <w:tcPr>
            <w:tcW w:w="277" w:type="pct"/>
            <w:vMerge/>
            <w:vAlign w:val="center"/>
          </w:tcPr>
          <w:p w:rsidR="00817B11" w:rsidRDefault="00817B11">
            <w:pPr>
              <w:widowControl w:val="0"/>
              <w:jc w:val="center"/>
              <w:rPr>
                <w:rFonts w:ascii="黑体" w:eastAsia="黑体" w:hAnsi="黑体" w:cs="黑体"/>
                <w:sz w:val="20"/>
                <w:szCs w:val="20"/>
              </w:rPr>
            </w:pPr>
          </w:p>
        </w:tc>
        <w:tc>
          <w:tcPr>
            <w:tcW w:w="296" w:type="pct"/>
            <w:vMerge/>
            <w:tcBorders>
              <w:top w:val="nil"/>
              <w:bottom w:val="nil"/>
            </w:tcBorders>
            <w:vAlign w:val="center"/>
          </w:tcPr>
          <w:p w:rsidR="00817B11" w:rsidRDefault="00817B11">
            <w:pPr>
              <w:widowControl w:val="0"/>
              <w:jc w:val="center"/>
              <w:rPr>
                <w:rFonts w:ascii="黑体" w:eastAsia="黑体" w:hAnsi="黑体" w:cs="黑体"/>
                <w:sz w:val="20"/>
                <w:szCs w:val="20"/>
              </w:rPr>
            </w:pPr>
          </w:p>
        </w:tc>
        <w:tc>
          <w:tcPr>
            <w:tcW w:w="417" w:type="pct"/>
            <w:vMerge w:val="restart"/>
            <w:tcBorders>
              <w:bottom w:val="nil"/>
            </w:tcBorders>
            <w:vAlign w:val="center"/>
          </w:tcPr>
          <w:p w:rsidR="00817B11" w:rsidRDefault="00EF66DB">
            <w:pPr>
              <w:pStyle w:val="TableText"/>
              <w:widowControl w:val="0"/>
              <w:spacing w:line="207" w:lineRule="auto"/>
              <w:jc w:val="center"/>
              <w:rPr>
                <w:rFonts w:ascii="黑体" w:eastAsia="黑体" w:hAnsi="黑体" w:cs="黑体"/>
                <w:sz w:val="20"/>
                <w:szCs w:val="20"/>
              </w:rPr>
            </w:pPr>
            <w:r>
              <w:rPr>
                <w:rFonts w:ascii="黑体" w:eastAsia="黑体" w:hAnsi="黑体" w:cs="黑体" w:hint="eastAsia"/>
                <w:sz w:val="20"/>
                <w:szCs w:val="20"/>
              </w:rPr>
              <w:t>新型经营主体贷款贴息</w:t>
            </w:r>
          </w:p>
        </w:tc>
        <w:tc>
          <w:tcPr>
            <w:tcW w:w="405" w:type="pct"/>
            <w:vMerge w:val="restart"/>
            <w:tcBorders>
              <w:bottom w:val="nil"/>
            </w:tcBorders>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规划内的易地扶贫搬迁贴息补助</w:t>
            </w:r>
          </w:p>
        </w:tc>
        <w:tc>
          <w:tcPr>
            <w:tcW w:w="592" w:type="pct"/>
            <w:vMerge w:val="restart"/>
            <w:tcBorders>
              <w:bottom w:val="nil"/>
            </w:tcBorders>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易地扶贫搬迁集中安置区后续扶持</w:t>
            </w:r>
          </w:p>
        </w:tc>
        <w:tc>
          <w:tcPr>
            <w:tcW w:w="750" w:type="pct"/>
            <w:gridSpan w:val="2"/>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发展新型农村集体经济</w:t>
            </w:r>
          </w:p>
        </w:tc>
        <w:tc>
          <w:tcPr>
            <w:tcW w:w="339" w:type="pct"/>
            <w:tcBorders>
              <w:top w:val="single" w:sz="4" w:space="0" w:color="000000"/>
              <w:bottom w:val="single" w:sz="4" w:space="0" w:color="000000"/>
            </w:tcBorders>
            <w:vAlign w:val="center"/>
          </w:tcPr>
          <w:p w:rsidR="00817B11" w:rsidRDefault="00EF66DB">
            <w:pPr>
              <w:pStyle w:val="TableText"/>
              <w:widowControl w:val="0"/>
              <w:spacing w:line="219" w:lineRule="auto"/>
              <w:jc w:val="center"/>
              <w:rPr>
                <w:rFonts w:ascii="黑体" w:eastAsia="黑体" w:hAnsi="黑体" w:cs="黑体"/>
                <w:sz w:val="20"/>
                <w:szCs w:val="20"/>
                <w:lang w:eastAsia="zh-CN"/>
              </w:rPr>
            </w:pPr>
            <w:r>
              <w:rPr>
                <w:rFonts w:ascii="黑体" w:eastAsia="黑体" w:hAnsi="黑体" w:cs="黑体" w:hint="eastAsia"/>
                <w:sz w:val="20"/>
                <w:szCs w:val="20"/>
                <w:lang w:eastAsia="zh-CN"/>
              </w:rPr>
              <w:t>奖励资金</w:t>
            </w:r>
          </w:p>
        </w:tc>
        <w:tc>
          <w:tcPr>
            <w:tcW w:w="374" w:type="pct"/>
            <w:vMerge/>
            <w:tcBorders>
              <w:top w:val="nil"/>
              <w:bottom w:val="nil"/>
            </w:tcBorders>
            <w:vAlign w:val="center"/>
          </w:tcPr>
          <w:p w:rsidR="00817B11" w:rsidRDefault="00817B11">
            <w:pPr>
              <w:widowControl w:val="0"/>
              <w:jc w:val="center"/>
              <w:rPr>
                <w:rFonts w:ascii="黑体" w:eastAsia="黑体" w:hAnsi="黑体" w:cs="黑体"/>
                <w:sz w:val="20"/>
                <w:szCs w:val="20"/>
              </w:rPr>
            </w:pPr>
          </w:p>
        </w:tc>
        <w:tc>
          <w:tcPr>
            <w:tcW w:w="284" w:type="pct"/>
            <w:vMerge/>
            <w:tcBorders>
              <w:top w:val="nil"/>
              <w:bottom w:val="nil"/>
            </w:tcBorders>
            <w:vAlign w:val="center"/>
          </w:tcPr>
          <w:p w:rsidR="00817B11" w:rsidRDefault="00817B11">
            <w:pPr>
              <w:widowControl w:val="0"/>
              <w:jc w:val="center"/>
              <w:rPr>
                <w:rFonts w:ascii="黑体" w:eastAsia="黑体" w:hAnsi="黑体" w:cs="黑体"/>
                <w:sz w:val="20"/>
                <w:szCs w:val="20"/>
              </w:rPr>
            </w:pPr>
          </w:p>
        </w:tc>
        <w:tc>
          <w:tcPr>
            <w:tcW w:w="435" w:type="pct"/>
            <w:vMerge/>
            <w:tcBorders>
              <w:top w:val="nil"/>
              <w:bottom w:val="nil"/>
            </w:tcBorders>
            <w:vAlign w:val="center"/>
          </w:tcPr>
          <w:p w:rsidR="00817B11" w:rsidRDefault="00817B11">
            <w:pPr>
              <w:widowControl w:val="0"/>
              <w:jc w:val="center"/>
              <w:rPr>
                <w:rFonts w:ascii="黑体" w:eastAsia="黑体" w:hAnsi="黑体" w:cs="黑体"/>
                <w:sz w:val="20"/>
                <w:szCs w:val="20"/>
              </w:rPr>
            </w:pPr>
          </w:p>
        </w:tc>
        <w:tc>
          <w:tcPr>
            <w:tcW w:w="428" w:type="pct"/>
            <w:vMerge/>
            <w:tcBorders>
              <w:top w:val="nil"/>
              <w:bottom w:val="nil"/>
            </w:tcBorders>
            <w:vAlign w:val="center"/>
          </w:tcPr>
          <w:p w:rsidR="00817B11" w:rsidRDefault="00817B11">
            <w:pPr>
              <w:widowControl w:val="0"/>
              <w:jc w:val="center"/>
              <w:rPr>
                <w:rFonts w:ascii="黑体" w:eastAsia="黑体" w:hAnsi="黑体" w:cs="黑体"/>
                <w:sz w:val="20"/>
                <w:szCs w:val="20"/>
              </w:rPr>
            </w:pPr>
          </w:p>
        </w:tc>
      </w:tr>
      <w:tr w:rsidR="00817B11">
        <w:trPr>
          <w:trHeight w:val="699"/>
        </w:trPr>
        <w:tc>
          <w:tcPr>
            <w:tcW w:w="395" w:type="pct"/>
            <w:vMerge/>
            <w:tcBorders>
              <w:top w:val="nil"/>
            </w:tcBorders>
            <w:vAlign w:val="center"/>
          </w:tcPr>
          <w:p w:rsidR="00817B11" w:rsidRDefault="00817B11">
            <w:pPr>
              <w:widowControl w:val="0"/>
              <w:jc w:val="center"/>
              <w:rPr>
                <w:rFonts w:ascii="黑体" w:eastAsia="黑体" w:hAnsi="黑体" w:cs="黑体"/>
                <w:sz w:val="20"/>
                <w:szCs w:val="20"/>
              </w:rPr>
            </w:pPr>
          </w:p>
        </w:tc>
        <w:tc>
          <w:tcPr>
            <w:tcW w:w="277" w:type="pct"/>
            <w:vMerge/>
            <w:vAlign w:val="center"/>
          </w:tcPr>
          <w:p w:rsidR="00817B11" w:rsidRDefault="00817B11">
            <w:pPr>
              <w:widowControl w:val="0"/>
              <w:jc w:val="center"/>
              <w:rPr>
                <w:rFonts w:ascii="黑体" w:eastAsia="黑体" w:hAnsi="黑体" w:cs="黑体"/>
                <w:sz w:val="20"/>
                <w:szCs w:val="20"/>
              </w:rPr>
            </w:pPr>
          </w:p>
        </w:tc>
        <w:tc>
          <w:tcPr>
            <w:tcW w:w="296" w:type="pct"/>
            <w:vMerge/>
            <w:tcBorders>
              <w:top w:val="nil"/>
            </w:tcBorders>
            <w:vAlign w:val="center"/>
          </w:tcPr>
          <w:p w:rsidR="00817B11" w:rsidRDefault="00817B11">
            <w:pPr>
              <w:widowControl w:val="0"/>
              <w:jc w:val="center"/>
              <w:rPr>
                <w:rFonts w:ascii="黑体" w:eastAsia="黑体" w:hAnsi="黑体" w:cs="黑体"/>
                <w:sz w:val="20"/>
                <w:szCs w:val="20"/>
              </w:rPr>
            </w:pPr>
          </w:p>
        </w:tc>
        <w:tc>
          <w:tcPr>
            <w:tcW w:w="417" w:type="pct"/>
            <w:vMerge/>
            <w:tcBorders>
              <w:top w:val="nil"/>
            </w:tcBorders>
            <w:vAlign w:val="center"/>
          </w:tcPr>
          <w:p w:rsidR="00817B11" w:rsidRDefault="00817B11">
            <w:pPr>
              <w:widowControl w:val="0"/>
              <w:jc w:val="center"/>
              <w:rPr>
                <w:rFonts w:ascii="黑体" w:eastAsia="黑体" w:hAnsi="黑体" w:cs="黑体"/>
                <w:sz w:val="20"/>
                <w:szCs w:val="20"/>
              </w:rPr>
            </w:pPr>
          </w:p>
        </w:tc>
        <w:tc>
          <w:tcPr>
            <w:tcW w:w="405" w:type="pct"/>
            <w:vMerge/>
            <w:tcBorders>
              <w:top w:val="nil"/>
            </w:tcBorders>
            <w:vAlign w:val="center"/>
          </w:tcPr>
          <w:p w:rsidR="00817B11" w:rsidRDefault="00817B11">
            <w:pPr>
              <w:widowControl w:val="0"/>
              <w:jc w:val="center"/>
              <w:rPr>
                <w:rFonts w:ascii="黑体" w:eastAsia="黑体" w:hAnsi="黑体" w:cs="黑体"/>
                <w:sz w:val="20"/>
                <w:szCs w:val="20"/>
              </w:rPr>
            </w:pPr>
          </w:p>
        </w:tc>
        <w:tc>
          <w:tcPr>
            <w:tcW w:w="592" w:type="pct"/>
            <w:vMerge/>
            <w:tcBorders>
              <w:top w:val="nil"/>
            </w:tcBorders>
            <w:vAlign w:val="center"/>
          </w:tcPr>
          <w:p w:rsidR="00817B11" w:rsidRDefault="00817B11">
            <w:pPr>
              <w:widowControl w:val="0"/>
              <w:jc w:val="center"/>
              <w:rPr>
                <w:rFonts w:ascii="黑体" w:eastAsia="黑体" w:hAnsi="黑体" w:cs="黑体"/>
                <w:sz w:val="20"/>
                <w:szCs w:val="20"/>
              </w:rPr>
            </w:pPr>
          </w:p>
        </w:tc>
        <w:tc>
          <w:tcPr>
            <w:tcW w:w="272" w:type="pct"/>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金额</w:t>
            </w:r>
          </w:p>
        </w:tc>
        <w:tc>
          <w:tcPr>
            <w:tcW w:w="478" w:type="pct"/>
            <w:vAlign w:val="center"/>
          </w:tcPr>
          <w:p w:rsidR="00817B11" w:rsidRDefault="00EF66DB">
            <w:pPr>
              <w:pStyle w:val="TableText"/>
              <w:widowControl w:val="0"/>
              <w:spacing w:line="219" w:lineRule="auto"/>
              <w:jc w:val="center"/>
              <w:rPr>
                <w:rFonts w:ascii="黑体" w:eastAsia="黑体" w:hAnsi="黑体" w:cs="黑体"/>
                <w:sz w:val="20"/>
                <w:szCs w:val="20"/>
              </w:rPr>
            </w:pPr>
            <w:r>
              <w:rPr>
                <w:rFonts w:ascii="黑体" w:eastAsia="黑体" w:hAnsi="黑体" w:cs="黑体" w:hint="eastAsia"/>
                <w:sz w:val="20"/>
                <w:szCs w:val="20"/>
              </w:rPr>
              <w:t>扶持村个数</w:t>
            </w:r>
          </w:p>
        </w:tc>
        <w:tc>
          <w:tcPr>
            <w:tcW w:w="339" w:type="pct"/>
            <w:tcBorders>
              <w:top w:val="single" w:sz="4" w:space="0" w:color="000000"/>
            </w:tcBorders>
            <w:vAlign w:val="center"/>
          </w:tcPr>
          <w:p w:rsidR="00817B11" w:rsidRDefault="00EF66DB">
            <w:pPr>
              <w:pStyle w:val="TableText"/>
              <w:widowControl w:val="0"/>
              <w:spacing w:line="219" w:lineRule="auto"/>
              <w:jc w:val="center"/>
              <w:rPr>
                <w:rFonts w:ascii="黑体" w:eastAsia="黑体" w:hAnsi="黑体" w:cs="黑体"/>
                <w:sz w:val="20"/>
                <w:szCs w:val="20"/>
                <w:lang w:eastAsia="zh-CN"/>
              </w:rPr>
            </w:pPr>
            <w:r>
              <w:rPr>
                <w:rFonts w:ascii="黑体" w:eastAsia="黑体" w:hAnsi="黑体" w:cs="黑体" w:hint="eastAsia"/>
                <w:sz w:val="20"/>
                <w:szCs w:val="20"/>
                <w:lang w:eastAsia="zh-CN"/>
              </w:rPr>
              <w:t>评估奖励</w:t>
            </w:r>
          </w:p>
        </w:tc>
        <w:tc>
          <w:tcPr>
            <w:tcW w:w="374" w:type="pct"/>
            <w:vMerge/>
            <w:tcBorders>
              <w:top w:val="nil"/>
            </w:tcBorders>
            <w:vAlign w:val="center"/>
          </w:tcPr>
          <w:p w:rsidR="00817B11" w:rsidRDefault="00817B11">
            <w:pPr>
              <w:widowControl w:val="0"/>
              <w:jc w:val="center"/>
              <w:rPr>
                <w:rFonts w:ascii="黑体" w:eastAsia="黑体" w:hAnsi="黑体" w:cs="黑体"/>
                <w:sz w:val="20"/>
                <w:szCs w:val="20"/>
              </w:rPr>
            </w:pPr>
          </w:p>
        </w:tc>
        <w:tc>
          <w:tcPr>
            <w:tcW w:w="284" w:type="pct"/>
            <w:vMerge/>
            <w:tcBorders>
              <w:top w:val="nil"/>
            </w:tcBorders>
            <w:vAlign w:val="center"/>
          </w:tcPr>
          <w:p w:rsidR="00817B11" w:rsidRDefault="00817B11">
            <w:pPr>
              <w:widowControl w:val="0"/>
              <w:jc w:val="center"/>
              <w:rPr>
                <w:rFonts w:ascii="黑体" w:eastAsia="黑体" w:hAnsi="黑体" w:cs="黑体"/>
                <w:sz w:val="20"/>
                <w:szCs w:val="20"/>
              </w:rPr>
            </w:pPr>
          </w:p>
        </w:tc>
        <w:tc>
          <w:tcPr>
            <w:tcW w:w="435" w:type="pct"/>
            <w:vMerge/>
            <w:tcBorders>
              <w:top w:val="nil"/>
            </w:tcBorders>
            <w:vAlign w:val="center"/>
          </w:tcPr>
          <w:p w:rsidR="00817B11" w:rsidRDefault="00817B11">
            <w:pPr>
              <w:widowControl w:val="0"/>
              <w:jc w:val="center"/>
              <w:rPr>
                <w:rFonts w:ascii="黑体" w:eastAsia="黑体" w:hAnsi="黑体" w:cs="黑体"/>
                <w:sz w:val="20"/>
                <w:szCs w:val="20"/>
              </w:rPr>
            </w:pPr>
          </w:p>
        </w:tc>
        <w:tc>
          <w:tcPr>
            <w:tcW w:w="428" w:type="pct"/>
            <w:vMerge/>
            <w:tcBorders>
              <w:top w:val="nil"/>
            </w:tcBorders>
            <w:vAlign w:val="center"/>
          </w:tcPr>
          <w:p w:rsidR="00817B11" w:rsidRDefault="00817B11">
            <w:pPr>
              <w:widowControl w:val="0"/>
              <w:jc w:val="center"/>
              <w:rPr>
                <w:rFonts w:ascii="黑体" w:eastAsia="黑体" w:hAnsi="黑体" w:cs="黑体"/>
                <w:sz w:val="20"/>
                <w:szCs w:val="20"/>
              </w:rPr>
            </w:pPr>
          </w:p>
        </w:tc>
      </w:tr>
      <w:tr w:rsidR="00817B11">
        <w:trPr>
          <w:trHeight w:val="1060"/>
        </w:trPr>
        <w:tc>
          <w:tcPr>
            <w:tcW w:w="395" w:type="pct"/>
            <w:vAlign w:val="center"/>
          </w:tcPr>
          <w:p w:rsidR="00817B11" w:rsidRDefault="00EF66DB">
            <w:pPr>
              <w:pStyle w:val="TableText"/>
              <w:widowControl w:val="0"/>
              <w:jc w:val="center"/>
              <w:rPr>
                <w:rFonts w:ascii="黑体" w:eastAsia="黑体" w:hAnsi="黑体" w:cs="黑体"/>
                <w:sz w:val="20"/>
                <w:szCs w:val="20"/>
                <w:lang w:eastAsia="zh-CN"/>
              </w:rPr>
            </w:pPr>
            <w:r>
              <w:rPr>
                <w:rFonts w:ascii="黑体" w:eastAsia="黑体" w:hAnsi="黑体" w:cs="黑体" w:hint="eastAsia"/>
                <w:sz w:val="20"/>
                <w:szCs w:val="20"/>
                <w:lang w:eastAsia="zh-CN"/>
              </w:rPr>
              <w:t>随县</w:t>
            </w:r>
          </w:p>
          <w:p w:rsidR="00817B11" w:rsidRDefault="00EF66DB">
            <w:pPr>
              <w:pStyle w:val="TableText"/>
              <w:widowControl w:val="0"/>
              <w:jc w:val="center"/>
              <w:rPr>
                <w:rFonts w:ascii="黑体" w:eastAsia="黑体" w:hAnsi="黑体" w:cs="黑体"/>
                <w:sz w:val="20"/>
                <w:szCs w:val="20"/>
              </w:rPr>
            </w:pPr>
            <w:r>
              <w:rPr>
                <w:rFonts w:ascii="黑体" w:eastAsia="黑体" w:hAnsi="黑体" w:cs="黑体" w:hint="eastAsia"/>
                <w:sz w:val="20"/>
                <w:szCs w:val="20"/>
                <w:lang w:eastAsia="zh-CN"/>
              </w:rPr>
              <w:t>（</w:t>
            </w:r>
            <w:r>
              <w:rPr>
                <w:rFonts w:ascii="黑体" w:eastAsia="黑体" w:hAnsi="黑体" w:cs="黑体" w:hint="eastAsia"/>
                <w:sz w:val="20"/>
                <w:szCs w:val="20"/>
              </w:rPr>
              <w:t>大洪山</w:t>
            </w:r>
            <w:r>
              <w:rPr>
                <w:rFonts w:ascii="黑体" w:eastAsia="黑体" w:hAnsi="黑体" w:cs="黑体" w:hint="eastAsia"/>
                <w:sz w:val="20"/>
                <w:szCs w:val="20"/>
                <w:lang w:eastAsia="zh-CN"/>
              </w:rPr>
              <w:t>）</w:t>
            </w:r>
          </w:p>
        </w:tc>
        <w:tc>
          <w:tcPr>
            <w:tcW w:w="277" w:type="pct"/>
            <w:vAlign w:val="center"/>
          </w:tcPr>
          <w:p w:rsidR="00817B11" w:rsidRDefault="00EF66DB">
            <w:pPr>
              <w:pStyle w:val="TableText"/>
              <w:widowControl w:val="0"/>
              <w:jc w:val="center"/>
              <w:rPr>
                <w:rFonts w:ascii="黑体" w:eastAsia="黑体" w:hAnsi="黑体" w:cs="黑体"/>
                <w:spacing w:val="-5"/>
                <w:sz w:val="20"/>
                <w:szCs w:val="20"/>
                <w:lang w:eastAsia="zh-CN"/>
              </w:rPr>
            </w:pPr>
            <w:r>
              <w:rPr>
                <w:rFonts w:ascii="黑体" w:eastAsia="黑体" w:hAnsi="黑体" w:cs="黑体" w:hint="eastAsia"/>
                <w:spacing w:val="-5"/>
                <w:sz w:val="20"/>
                <w:szCs w:val="20"/>
                <w:lang w:eastAsia="zh-CN"/>
              </w:rPr>
              <w:t>130</w:t>
            </w:r>
          </w:p>
        </w:tc>
        <w:tc>
          <w:tcPr>
            <w:tcW w:w="296" w:type="pct"/>
            <w:vAlign w:val="center"/>
          </w:tcPr>
          <w:p w:rsidR="00817B11" w:rsidRDefault="00EF66DB">
            <w:pPr>
              <w:pStyle w:val="TableText"/>
              <w:widowControl w:val="0"/>
              <w:jc w:val="center"/>
              <w:rPr>
                <w:rFonts w:ascii="黑体" w:eastAsia="黑体" w:hAnsi="黑体" w:cs="黑体"/>
                <w:sz w:val="20"/>
                <w:szCs w:val="20"/>
              </w:rPr>
            </w:pPr>
            <w:r>
              <w:rPr>
                <w:rFonts w:ascii="黑体" w:eastAsia="黑体" w:hAnsi="黑体" w:cs="黑体" w:hint="eastAsia"/>
                <w:spacing w:val="-5"/>
                <w:sz w:val="20"/>
                <w:szCs w:val="20"/>
              </w:rPr>
              <w:t>130</w:t>
            </w:r>
          </w:p>
        </w:tc>
        <w:tc>
          <w:tcPr>
            <w:tcW w:w="417" w:type="pct"/>
            <w:vAlign w:val="center"/>
          </w:tcPr>
          <w:p w:rsidR="00817B11" w:rsidRDefault="00817B11">
            <w:pPr>
              <w:widowControl w:val="0"/>
              <w:jc w:val="center"/>
              <w:rPr>
                <w:rFonts w:ascii="黑体" w:eastAsia="黑体" w:hAnsi="黑体" w:cs="黑体"/>
                <w:sz w:val="20"/>
                <w:szCs w:val="20"/>
                <w:lang w:eastAsia="zh-CN"/>
              </w:rPr>
            </w:pPr>
          </w:p>
        </w:tc>
        <w:tc>
          <w:tcPr>
            <w:tcW w:w="405" w:type="pct"/>
            <w:vAlign w:val="center"/>
          </w:tcPr>
          <w:p w:rsidR="00817B11" w:rsidRDefault="00EF66DB">
            <w:pPr>
              <w:pStyle w:val="TableText"/>
              <w:widowControl w:val="0"/>
              <w:jc w:val="center"/>
              <w:rPr>
                <w:rFonts w:ascii="黑体" w:eastAsia="黑体" w:hAnsi="黑体" w:cs="黑体"/>
                <w:sz w:val="20"/>
                <w:szCs w:val="20"/>
              </w:rPr>
            </w:pPr>
            <w:r>
              <w:rPr>
                <w:rFonts w:ascii="黑体" w:eastAsia="黑体" w:hAnsi="黑体" w:cs="黑体" w:hint="eastAsia"/>
                <w:spacing w:val="-5"/>
                <w:sz w:val="20"/>
                <w:szCs w:val="20"/>
              </w:rPr>
              <w:t>15</w:t>
            </w:r>
          </w:p>
        </w:tc>
        <w:tc>
          <w:tcPr>
            <w:tcW w:w="592" w:type="pct"/>
            <w:vAlign w:val="center"/>
          </w:tcPr>
          <w:p w:rsidR="00817B11" w:rsidRDefault="00EF66DB">
            <w:pPr>
              <w:pStyle w:val="TableText"/>
              <w:widowControl w:val="0"/>
              <w:jc w:val="center"/>
              <w:rPr>
                <w:rFonts w:ascii="黑体" w:eastAsia="黑体" w:hAnsi="黑体" w:cs="黑体"/>
                <w:sz w:val="20"/>
                <w:szCs w:val="20"/>
              </w:rPr>
            </w:pPr>
            <w:r>
              <w:rPr>
                <w:rFonts w:ascii="黑体" w:eastAsia="黑体" w:hAnsi="黑体" w:cs="黑体" w:hint="eastAsia"/>
                <w:spacing w:val="-5"/>
                <w:sz w:val="20"/>
                <w:szCs w:val="20"/>
              </w:rPr>
              <w:t>3</w:t>
            </w:r>
          </w:p>
        </w:tc>
        <w:tc>
          <w:tcPr>
            <w:tcW w:w="272" w:type="pct"/>
            <w:vAlign w:val="center"/>
          </w:tcPr>
          <w:p w:rsidR="00817B11" w:rsidRDefault="00817B11">
            <w:pPr>
              <w:pStyle w:val="TableText"/>
              <w:widowControl w:val="0"/>
              <w:jc w:val="center"/>
              <w:rPr>
                <w:rFonts w:ascii="黑体" w:eastAsia="黑体" w:hAnsi="黑体" w:cs="黑体"/>
                <w:sz w:val="20"/>
                <w:szCs w:val="20"/>
              </w:rPr>
            </w:pPr>
          </w:p>
        </w:tc>
        <w:tc>
          <w:tcPr>
            <w:tcW w:w="478" w:type="pct"/>
            <w:vAlign w:val="center"/>
          </w:tcPr>
          <w:p w:rsidR="00817B11" w:rsidRDefault="00817B11">
            <w:pPr>
              <w:pStyle w:val="TableText"/>
              <w:widowControl w:val="0"/>
              <w:jc w:val="center"/>
              <w:rPr>
                <w:rFonts w:ascii="黑体" w:eastAsia="黑体" w:hAnsi="黑体" w:cs="黑体"/>
                <w:sz w:val="20"/>
                <w:szCs w:val="20"/>
              </w:rPr>
            </w:pPr>
          </w:p>
        </w:tc>
        <w:tc>
          <w:tcPr>
            <w:tcW w:w="339" w:type="pct"/>
            <w:vAlign w:val="center"/>
          </w:tcPr>
          <w:p w:rsidR="00817B11" w:rsidRDefault="00EF66DB">
            <w:pPr>
              <w:pStyle w:val="TableText"/>
              <w:widowControl w:val="0"/>
              <w:jc w:val="center"/>
              <w:rPr>
                <w:rFonts w:ascii="黑体" w:eastAsia="黑体" w:hAnsi="黑体" w:cs="黑体"/>
                <w:sz w:val="20"/>
                <w:szCs w:val="20"/>
                <w:lang w:eastAsia="zh-CN"/>
              </w:rPr>
            </w:pPr>
            <w:r>
              <w:rPr>
                <w:rFonts w:ascii="黑体" w:eastAsia="黑体" w:hAnsi="黑体" w:cs="黑体" w:hint="eastAsia"/>
                <w:sz w:val="20"/>
                <w:szCs w:val="20"/>
                <w:lang w:eastAsia="zh-CN"/>
              </w:rPr>
              <w:t>20</w:t>
            </w:r>
          </w:p>
        </w:tc>
        <w:tc>
          <w:tcPr>
            <w:tcW w:w="374" w:type="pct"/>
            <w:vAlign w:val="center"/>
          </w:tcPr>
          <w:p w:rsidR="00817B11" w:rsidRDefault="00817B11">
            <w:pPr>
              <w:widowControl w:val="0"/>
              <w:jc w:val="center"/>
              <w:rPr>
                <w:rFonts w:ascii="黑体" w:eastAsia="黑体" w:hAnsi="黑体" w:cs="黑体"/>
                <w:sz w:val="20"/>
                <w:szCs w:val="20"/>
              </w:rPr>
            </w:pPr>
          </w:p>
        </w:tc>
        <w:tc>
          <w:tcPr>
            <w:tcW w:w="284" w:type="pct"/>
            <w:vAlign w:val="center"/>
          </w:tcPr>
          <w:p w:rsidR="00817B11" w:rsidRDefault="00817B11">
            <w:pPr>
              <w:widowControl w:val="0"/>
              <w:jc w:val="center"/>
              <w:rPr>
                <w:rFonts w:ascii="黑体" w:eastAsia="黑体" w:hAnsi="黑体" w:cs="黑体"/>
                <w:sz w:val="20"/>
                <w:szCs w:val="20"/>
              </w:rPr>
            </w:pPr>
          </w:p>
        </w:tc>
        <w:tc>
          <w:tcPr>
            <w:tcW w:w="435" w:type="pct"/>
            <w:vAlign w:val="center"/>
          </w:tcPr>
          <w:p w:rsidR="00817B11" w:rsidRDefault="00817B11">
            <w:pPr>
              <w:widowControl w:val="0"/>
              <w:jc w:val="center"/>
              <w:rPr>
                <w:rFonts w:ascii="黑体" w:eastAsia="黑体" w:hAnsi="黑体" w:cs="黑体"/>
                <w:sz w:val="20"/>
                <w:szCs w:val="20"/>
              </w:rPr>
            </w:pPr>
          </w:p>
        </w:tc>
        <w:tc>
          <w:tcPr>
            <w:tcW w:w="428" w:type="pct"/>
            <w:vAlign w:val="center"/>
          </w:tcPr>
          <w:p w:rsidR="00817B11" w:rsidRDefault="00817B11">
            <w:pPr>
              <w:widowControl w:val="0"/>
              <w:jc w:val="center"/>
              <w:rPr>
                <w:rFonts w:ascii="黑体" w:eastAsia="黑体" w:hAnsi="黑体" w:cs="黑体"/>
                <w:sz w:val="20"/>
                <w:szCs w:val="20"/>
              </w:rPr>
            </w:pPr>
          </w:p>
        </w:tc>
      </w:tr>
    </w:tbl>
    <w:p w:rsidR="00817B11" w:rsidRDefault="00817B11">
      <w:pPr>
        <w:sectPr w:rsidR="00817B11">
          <w:footerReference w:type="default" r:id="rId6"/>
          <w:pgSz w:w="16940" w:h="12081" w:orient="landscape"/>
          <w:pgMar w:top="1984" w:right="1587" w:bottom="1814" w:left="1587" w:header="0" w:footer="1417" w:gutter="0"/>
          <w:cols w:space="0"/>
        </w:sectPr>
      </w:pPr>
    </w:p>
    <w:p w:rsidR="00817B11" w:rsidRDefault="00817B11">
      <w:pPr>
        <w:widowControl w:val="0"/>
        <w:kinsoku/>
        <w:autoSpaceDE/>
        <w:autoSpaceDN/>
        <w:adjustRightInd/>
        <w:snapToGrid/>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rPr>
      </w:pPr>
    </w:p>
    <w:p w:rsidR="00817B11" w:rsidRDefault="00817B11">
      <w:pPr>
        <w:widowControl w:val="0"/>
        <w:kinsoku/>
        <w:autoSpaceDE/>
        <w:autoSpaceDN/>
        <w:adjustRightInd/>
        <w:snapToGrid/>
        <w:ind w:firstLineChars="100" w:firstLine="320"/>
        <w:jc w:val="both"/>
        <w:textAlignment w:val="auto"/>
        <w:rPr>
          <w:rFonts w:ascii="Times New Roman" w:eastAsia="黑体" w:hAnsi="Times New Roman" w:cs="Times New Roman"/>
          <w:sz w:val="32"/>
          <w:szCs w:val="32"/>
          <w:lang w:eastAsia="zh-CN"/>
        </w:rPr>
      </w:pPr>
    </w:p>
    <w:sectPr w:rsidR="00817B11" w:rsidSect="00817B11">
      <w:headerReference w:type="default" r:id="rId7"/>
      <w:pgSz w:w="12081" w:h="16940"/>
      <w:pgMar w:top="1984" w:right="1587" w:bottom="1814" w:left="1587" w:header="0" w:footer="1417"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6DB" w:rsidRDefault="00EF66DB">
      <w:r>
        <w:separator/>
      </w:r>
    </w:p>
  </w:endnote>
  <w:endnote w:type="continuationSeparator" w:id="0">
    <w:p w:rsidR="00EF66DB" w:rsidRDefault="00EF66D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B11" w:rsidRDefault="00817B11">
    <w:pPr>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6DB" w:rsidRDefault="00EF66DB">
      <w:r>
        <w:separator/>
      </w:r>
    </w:p>
  </w:footnote>
  <w:footnote w:type="continuationSeparator" w:id="0">
    <w:p w:rsidR="00EF66DB" w:rsidRDefault="00EF6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B11" w:rsidRDefault="00817B11">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drawingGridHorizontalSpacing w:val="210"/>
  <w:drawingGridVerticalSpacing w:val="-7946"/>
  <w:characterSpacingControl w:val="doNotCompress"/>
  <w:footnotePr>
    <w:footnote w:id="-1"/>
    <w:footnote w:id="0"/>
  </w:footnotePr>
  <w:endnotePr>
    <w:endnote w:id="-1"/>
    <w:endnote w:id="0"/>
  </w:endnotePr>
  <w:compat>
    <w:spaceForUL/>
    <w:ulTrailSpace/>
    <w:useFELayout/>
  </w:compat>
  <w:docVars>
    <w:docVar w:name="commondata" w:val="eyJoZGlkIjoiNzNjYzk1Y2ZiN2ZjY2ZmNWEzNzQ1ZTFiM2ZmNTAyY2IifQ=="/>
    <w:docVar w:name="KSO_WPS_MARK_KEY" w:val="c0451746-9035-43c8-bab9-0ef9c6ffdad8"/>
  </w:docVars>
  <w:rsids>
    <w:rsidRoot w:val="00817B11"/>
    <w:rsid w:val="00817B11"/>
    <w:rsid w:val="00D57E02"/>
    <w:rsid w:val="00EF66DB"/>
    <w:rsid w:val="0E042A8A"/>
    <w:rsid w:val="12C362A8"/>
    <w:rsid w:val="35EB0679"/>
    <w:rsid w:val="3DB30838"/>
    <w:rsid w:val="53D11CA9"/>
    <w:rsid w:val="62FD4D4C"/>
    <w:rsid w:val="791C1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B11"/>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817B11"/>
    <w:rPr>
      <w:rFonts w:ascii="仿宋" w:eastAsia="仿宋" w:hAnsi="仿宋" w:cs="仿宋"/>
      <w:sz w:val="33"/>
      <w:szCs w:val="33"/>
    </w:rPr>
  </w:style>
  <w:style w:type="paragraph" w:styleId="a4">
    <w:name w:val="header"/>
    <w:basedOn w:val="a"/>
    <w:qFormat/>
    <w:rsid w:val="00817B11"/>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rsid w:val="00817B11"/>
    <w:tblPr>
      <w:tblCellMar>
        <w:top w:w="0" w:type="dxa"/>
        <w:left w:w="0" w:type="dxa"/>
        <w:bottom w:w="0" w:type="dxa"/>
        <w:right w:w="0" w:type="dxa"/>
      </w:tblCellMar>
    </w:tblPr>
  </w:style>
  <w:style w:type="paragraph" w:customStyle="1" w:styleId="TableText">
    <w:name w:val="Table Text"/>
    <w:basedOn w:val="a"/>
    <w:semiHidden/>
    <w:qFormat/>
    <w:rsid w:val="00817B11"/>
    <w:rPr>
      <w:rFonts w:ascii="宋体" w:eastAsia="宋体" w:hAnsi="宋体" w:cs="宋体"/>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Administrator</cp:lastModifiedBy>
  <cp:revision>2</cp:revision>
  <cp:lastPrinted>2025-01-15T05:34:00Z</cp:lastPrinted>
  <dcterms:created xsi:type="dcterms:W3CDTF">2023-12-26T17:15:00Z</dcterms:created>
  <dcterms:modified xsi:type="dcterms:W3CDTF">2025-10-09T07:01:00Z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2023-12-26T17:15:37Z</vt:filetime>
  </property>
  <property fmtid="{D5CDD505-2E9C-101B-9397-08002B2CF9AE}" pid="4" name="UsrData">
    <vt:lpwstr>658a99b475ed98001f664c8cwl</vt:lpwstr>
  </property>
  <property fmtid="{D5CDD505-2E9C-101B-9397-08002B2CF9AE}" pid="5" name="KSOProductBuildVer">
    <vt:lpwstr>2052-12.1.0.19770</vt:lpwstr>
  </property>
  <property fmtid="{D5CDD505-2E9C-101B-9397-08002B2CF9AE}" pid="6" name="ICV">
    <vt:lpwstr>7DA8C82E78564866B09512B6D35E27BE_12</vt:lpwstr>
  </property>
  <property fmtid="{D5CDD505-2E9C-101B-9397-08002B2CF9AE}" pid="7" name="KSOTemplateDocerSaveRecord">
    <vt:lpwstr>eyJoZGlkIjoiNzNjYzk1Y2ZiN2ZjY2ZmNWEzNzQ1ZTFiM2ZmNTAyY2IiLCJ1c2VySWQiOiIyNjM5OTc4OTYifQ==</vt:lpwstr>
  </property>
</Properties>
</file>