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keepNext w:val="false"/>
        <w:keepLines w:val="false"/>
        <w:pageBreakBefore w:val="false"/>
        <w:widowControl w:val="false"/>
        <w:pBdr/>
        <w:spacing w:line="620" w:lineRule="exact"/>
        <w:ind/>
        <w:jc w:val="center"/>
        <w:rPr>
          <w:rFonts w:hint="default" w:ascii="Times New Roman" w:hAnsi="Times New Roman" w:eastAsia="方正仿宋简体" w:cs="Times New Roman"/>
          <w:sz w:val="40"/>
          <w:szCs w:val="40"/>
        </w:rPr>
      </w:pPr>
      <w:r/>
      <w:bookmarkStart w:id="0" w:name="OLE_LINK1"/>
      <w:r/>
      <w:r>
        <w:rPr>
          <w:rFonts w:hint="default" w:ascii="Times New Roman" w:hAnsi="Times New Roman" w:eastAsia="方正仿宋简体" w:cs="Times New Roman"/>
          <w:sz w:val="40"/>
          <w:szCs w:val="40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/>
        <w:jc w:val="center"/>
        <w:rPr>
          <w:rFonts w:hint="default" w:ascii="Times New Roman" w:hAnsi="Times New Roman" w:eastAsia="方正仿宋简体" w:cs="Times New Roman"/>
          <w:sz w:val="40"/>
          <w:szCs w:val="40"/>
        </w:rPr>
      </w:pPr>
      <w:r>
        <w:rPr>
          <w:rFonts w:hint="default" w:ascii="Times New Roman" w:hAnsi="Times New Roman" w:eastAsia="方正仿宋简体" w:cs="Times New Roman"/>
          <w:sz w:val="40"/>
          <w:szCs w:val="40"/>
        </w:rPr>
      </w:r>
      <w:r>
        <w:rPr>
          <w:rFonts w:hint="default" w:ascii="Times New Roman" w:hAnsi="Times New Roman" w:eastAsia="方正仿宋简体" w:cs="Times New Roman"/>
          <w:sz w:val="40"/>
          <w:szCs w:val="40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54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随财函〔20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136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号</w:t>
      </w:r>
      <w:r>
        <w:rPr>
          <w:rFonts w:hint="default" w:ascii="Times New Roman" w:hAnsi="Times New Roman" w:eastAsia="仿宋_GB2312" w:cs="Times New Roman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 w:left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/>
        <w:jc w:val="center"/>
        <w:rPr>
          <w:rFonts w:hint="default" w:ascii="Times New Roman" w:hAnsi="Times New Roman" w:eastAsia="方正大标宋简体" w:cs="Times New Roman"/>
          <w:bCs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大标宋简体" w:cs="Times New Roman"/>
          <w:bCs/>
          <w:color w:val="auto"/>
          <w:sz w:val="40"/>
          <w:szCs w:val="40"/>
          <w:lang w:val="en-US" w:eastAsia="zh-CN"/>
        </w:rPr>
        <w:t xml:space="preserve">市财政局关于下达2025年第二批市级财政</w:t>
      </w:r>
      <w:r>
        <w:rPr>
          <w:rFonts w:hint="default" w:ascii="Times New Roman" w:hAnsi="Times New Roman" w:eastAsia="方正大标宋简体" w:cs="Times New Roman"/>
          <w:bCs/>
          <w:color w:val="auto"/>
          <w:sz w:val="40"/>
          <w:szCs w:val="40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/>
        <w:jc w:val="center"/>
        <w:rPr>
          <w:rFonts w:hint="default" w:ascii="Times New Roman" w:hAnsi="Times New Roman" w:eastAsia="方正大标宋简体" w:cs="Times New Roman"/>
          <w:bCs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大标宋简体" w:cs="Times New Roman"/>
          <w:bCs/>
          <w:color w:val="auto"/>
          <w:sz w:val="40"/>
          <w:szCs w:val="40"/>
          <w:lang w:val="en-US" w:eastAsia="zh-CN"/>
        </w:rPr>
        <w:t xml:space="preserve">衔接推进乡村振兴补助资金的通知</w:t>
      </w:r>
      <w:r>
        <w:rPr>
          <w:rFonts w:hint="default" w:ascii="Times New Roman" w:hAnsi="Times New Roman" w:eastAsia="方正大标宋简体" w:cs="Times New Roman"/>
          <w:bCs/>
          <w:color w:val="auto"/>
          <w:sz w:val="40"/>
          <w:szCs w:val="40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 w:left="0"/>
        <w:jc w:val="both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r>
    </w:p>
    <w:p>
      <w:pPr>
        <w:pStyle w:val="656"/>
        <w:keepNext w:val="false"/>
        <w:keepLines w:val="false"/>
        <w:pageBreakBefore w:val="false"/>
        <w:widowControl w:val="false"/>
        <w:pBdr/>
        <w:spacing w:after="0" w:afterAutospacing="0" w:before="0" w:beforeAutospacing="0" w:line="620" w:lineRule="exact"/>
        <w:ind w:firstLine="640" w:left="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财政局：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r>
    </w:p>
    <w:p>
      <w:pPr>
        <w:pStyle w:val="656"/>
        <w:keepNext w:val="false"/>
        <w:keepLines w:val="false"/>
        <w:pageBreakBefore w:val="false"/>
        <w:widowControl w:val="false"/>
        <w:pBdr/>
        <w:spacing w:after="0" w:afterAutospacing="0" w:before="0" w:beforeAutospacing="0" w:line="620" w:lineRule="exact"/>
        <w:ind w:firstLine="640" w:left="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支持你地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做好巩固拓展脱贫攻坚成果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乡村振兴有效衔接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，根据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 xml:space="preserve"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省财政厅 省乡村振兴局 省发改委 省民宗委 省农业农村厅 省林业局关于印发&lt;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湖北省财政衔接推进乡村振兴补助资金管理办法&gt;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的通知》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 xml:space="preserve"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鄂财农发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2021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25号）等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文件精神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和市农业农村局资金分配方案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经市政府研究决定，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下达你地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第二批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市级财政衔接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推进乡村振兴补助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资金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2500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 xml:space="preserve"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r>
    </w:p>
    <w:p>
      <w:pPr>
        <w:pStyle w:val="656"/>
        <w:keepNext w:val="false"/>
        <w:keepLines w:val="false"/>
        <w:pageBreakBefore w:val="false"/>
        <w:widowControl w:val="false"/>
        <w:pBdr/>
        <w:spacing w:after="0" w:afterAutospacing="0" w:before="0" w:beforeAutospacing="0" w:line="620" w:lineRule="exact"/>
        <w:ind w:firstLine="640" w:left="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主要用于以下几个方面：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620" w:lineRule="exact"/>
        <w:ind w:firstLine="640" w:left="0"/>
        <w:jc w:val="both"/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一、市直工作队驻点村产业帮扶资金330万元。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全市33个驻点帮扶村，每个村10万元。（名单详见附件2）    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 w:left="0"/>
        <w:jc w:val="both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二、提档升级村级寄递物流服务网点奖补资金225万元。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 w:lef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三、扶持发展市级新型农村集体经济项目资金405万元。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全市发展新型农村集体经济扶持村27个，每个村15万元。（名单详见附件3）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620" w:lineRule="exact"/>
        <w:ind w:firstLine="640" w:left="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四、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因素分配法分配资金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1540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万元。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根据各县市区建档立卡脱贫人口数、三类监测对象户数和乡村人口数比例分配。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 w:left="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上述资金请列入2025年政府收支分类科目“21305巩固脱贫攻坚成果衔接乡村振兴”支出科目，通过2025年财政年终结算办理。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 w:left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请按照《湖北省财政衔接推进乡村振兴补助资金管理办法》等有关文件规定，加强资金监管，确保资金使用安全、规范和高效。并加强全过程预算绩效管理，做好年度绩效考评，确保绩效目标如期实现。</w:t>
      </w:r>
      <w:r>
        <w:rPr>
          <w:rFonts w:hint="default" w:ascii="Times New Roman" w:hAnsi="Times New Roman" w:eastAsia="仿宋_GB2312" w:cs="Times New Roman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 w:left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</w:r>
      <w:r>
        <w:rPr>
          <w:rFonts w:hint="default" w:ascii="Times New Roman" w:hAnsi="Times New Roman" w:eastAsia="仿宋_GB2312" w:cs="Times New Roman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hanging="1600" w:left="2238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附件：1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随州市202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第二批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财政衔接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推进乡村振兴补助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资金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分配表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 w:lef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随州市市直单位驻点村花名册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1600"/>
        <w:jc w:val="both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3、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 xml:space="preserve">202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 xml:space="preserve">5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 xml:space="preserve">年度市级发展新型农村集体经济扶持村名单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620" w:lineRule="exact"/>
        <w:ind w:firstLine="640" w:left="0"/>
        <w:jc w:val="both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</w:pPr>
      <w:r/>
      <w:bookmarkStart w:id="5" w:name="_GoBack"/>
      <w:r/>
      <w:bookmarkEnd w:id="5"/>
      <w:r/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620" w:lineRule="exact"/>
        <w:ind w:firstLine="640" w:left="0"/>
        <w:jc w:val="both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620" w:lineRule="exact"/>
        <w:ind w:hanging="4160" w:left="4798"/>
        <w:jc w:val="both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 xml:space="preserve">                                                2025年</w:t>
      </w:r>
      <w:r>
        <w:rPr>
          <w:rFonts w:hint="eastAsia" w:eastAsia="仿宋_GB2312" w:cs="Times New Roman"/>
          <w:b w:val="0"/>
          <w:color w:val="auto"/>
          <w:sz w:val="32"/>
          <w:szCs w:val="32"/>
          <w:lang w:val="en-US" w:eastAsia="zh-CN"/>
        </w:rPr>
        <w:t xml:space="preserve">9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 xml:space="preserve">月</w:t>
      </w:r>
      <w:r>
        <w:rPr>
          <w:rFonts w:hint="eastAsia" w:eastAsia="仿宋_GB2312" w:cs="Times New Roman"/>
          <w:b w:val="0"/>
          <w:color w:val="auto"/>
          <w:sz w:val="32"/>
          <w:szCs w:val="32"/>
          <w:lang w:val="en-US" w:eastAsia="zh-CN"/>
        </w:rPr>
        <w:t xml:space="preserve">1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 xml:space="preserve">日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620" w:lineRule="exact"/>
        <w:ind w:hanging="4160" w:left="4798"/>
        <w:jc w:val="both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sectPr>
          <w:footerReference w:type="default" r:id="rId8"/>
          <w:footnotePr/>
          <w:endnotePr/>
          <w:type w:val="nextPage"/>
          <w:pgSz w:h="16838" w:orient="landscape" w:w="11906"/>
          <w:pgMar w:top="1984" w:right="1587" w:bottom="1814" w:left="1587" w:header="851" w:footer="1417" w:gutter="0"/>
          <w:cols w:num="1" w:sep="0" w:space="0" w:equalWidth="1"/>
        </w:sect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pBdr/>
        <w:spacing w:line="620" w:lineRule="exact"/>
        <w:ind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-SA"/>
        </w:rPr>
        <w:t xml:space="preserve">附件1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-SA"/>
        </w:rPr>
      </w:r>
    </w:p>
    <w:p>
      <w:pPr>
        <w:keepNext w:val="false"/>
        <w:keepLines w:val="false"/>
        <w:pageBreakBefore w:val="false"/>
        <w:pBdr/>
        <w:spacing w:line="620" w:lineRule="exact"/>
        <w:ind/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 xml:space="preserve">随州市202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 xml:space="preserve">5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 xml:space="preserve">年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 xml:space="preserve">第二批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 xml:space="preserve">市级财政衔接推进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</w:r>
    </w:p>
    <w:p>
      <w:pPr>
        <w:keepNext w:val="false"/>
        <w:keepLines w:val="false"/>
        <w:pageBreakBefore w:val="false"/>
        <w:pBdr/>
        <w:spacing w:line="620" w:lineRule="exact"/>
        <w:ind/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 xml:space="preserve">乡村振兴补助资金分配表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</w:r>
    </w:p>
    <w:p>
      <w:pPr>
        <w:keepNext w:val="false"/>
        <w:keepLines w:val="false"/>
        <w:pageBreakBefore w:val="false"/>
        <w:pBdr/>
        <w:spacing w:line="620" w:lineRule="exact"/>
        <w:ind/>
        <w:jc w:val="right"/>
        <w:rPr>
          <w:rFonts w:hint="default" w:ascii="Times New Roman" w:hAnsi="Times New Roman" w:eastAsia="方正小标宋简体" w:cs="Times New Roman"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24"/>
          <w:szCs w:val="24"/>
          <w:lang w:val="en-US" w:eastAsia="zh-CN"/>
        </w:rPr>
        <w:t xml:space="preserve">单位：万元</w:t>
      </w:r>
      <w:r>
        <w:rPr>
          <w:rFonts w:hint="default" w:ascii="Times New Roman" w:hAnsi="Times New Roman" w:eastAsia="方正小标宋简体" w:cs="Times New Roman"/>
          <w:bCs/>
          <w:color w:val="auto"/>
          <w:sz w:val="24"/>
          <w:szCs w:val="24"/>
          <w:lang w:val="en-US" w:eastAsia="zh-CN"/>
        </w:rPr>
      </w:r>
    </w:p>
    <w:tbl>
      <w:tblPr>
        <w:tblStyle w:val="659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43"/>
        <w:gridCol w:w="1146"/>
        <w:gridCol w:w="2155"/>
        <w:gridCol w:w="1281"/>
        <w:gridCol w:w="1814"/>
        <w:gridCol w:w="2127"/>
        <w:gridCol w:w="2114"/>
        <w:gridCol w:w="1993"/>
      </w:tblGrid>
      <w:tr>
        <w:trPr>
          <w:jc w:val="center"/>
          <w:trHeight w:val="64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7" w:type="pct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县市区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13" w:type="pct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总计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第一批下达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362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第二批下达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1414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" w:type="pct"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3" w:type="pct"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67"/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 w:bidi="ar"/>
              </w:rPr>
              <w:t xml:space="preserve">中央财政油茶产业发展示范奖补项目市级配套资金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1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Style w:val="667"/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67"/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 w:bidi="ar"/>
              </w:rPr>
              <w:t xml:space="preserve">小计</w:t>
            </w:r>
            <w:r>
              <w:rPr>
                <w:rStyle w:val="667"/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53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市直工作队驻点村产业帮扶资金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提档升级村级寄递物流服务网点奖补资金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1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扶持发展市级新型农村集体经济项目资金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18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因素分配法分配资金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jc w:val="center"/>
          <w:trHeight w:val="64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合计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3500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1000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2500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3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330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225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1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405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1540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64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随县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1624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563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1061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3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150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1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165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656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64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广水市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1237.5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267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970.5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3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130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89.5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1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601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64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曾都区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638.5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170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468.5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3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50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45.5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1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spacing w:line="300" w:lineRule="exact"/>
              <w:ind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283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</w:tr>
    </w:tbl>
    <w:p>
      <w:pPr>
        <w:keepNext w:val="false"/>
        <w:keepLines w:val="false"/>
        <w:widowControl w:val="true"/>
        <w:suppressLineNumbers w:val="false"/>
        <w:pBdr/>
        <w:spacing/>
        <w:ind/>
        <w:jc w:val="right"/>
        <w:rPr>
          <w:rFonts w:hint="default" w:ascii="黑体" w:hAnsi="宋体" w:eastAsia="黑体" w:cs="黑体"/>
          <w:i w:val="0"/>
          <w:iCs w:val="0"/>
          <w:color w:val="000000"/>
          <w:sz w:val="28"/>
          <w:szCs w:val="28"/>
          <w:u w:val="none"/>
          <w:lang w:val="en-US" w:eastAsia="zh-CN" w:bidi="ar"/>
        </w:rPr>
        <w:sectPr>
          <w:footnotePr/>
          <w:endnotePr/>
          <w:type w:val="nextPage"/>
          <w:pgSz w:h="11906" w:orient="portrait" w:w="16838"/>
          <w:pgMar w:top="1984" w:right="1587" w:bottom="1814" w:left="1587" w:header="851" w:footer="1417" w:gutter="0"/>
          <w:cols w:num="1" w:sep="0" w:space="0" w:equalWidth="1"/>
        </w:sectPr>
      </w:pPr>
      <w:r>
        <w:rPr>
          <w:rFonts w:hint="default" w:ascii="黑体" w:hAnsi="宋体" w:eastAsia="黑体" w:cs="黑体"/>
          <w:i w:val="0"/>
          <w:iCs w:val="0"/>
          <w:color w:val="000000"/>
          <w:sz w:val="28"/>
          <w:szCs w:val="28"/>
          <w:u w:val="none"/>
          <w:lang w:val="en-US" w:eastAsia="zh-CN" w:bidi="ar"/>
        </w:rPr>
      </w:r>
      <w:r>
        <w:rPr>
          <w:rFonts w:hint="default" w:ascii="黑体" w:hAnsi="宋体" w:eastAsia="黑体" w:cs="黑体"/>
          <w:i w:val="0"/>
          <w:iCs w:val="0"/>
          <w:color w:val="000000"/>
          <w:sz w:val="28"/>
          <w:szCs w:val="28"/>
          <w:u w:val="none"/>
          <w:lang w:val="en-US" w:eastAsia="zh-CN" w:bidi="ar"/>
        </w:rPr>
      </w:r>
    </w:p>
    <w:p>
      <w:pPr>
        <w:keepNext w:val="false"/>
        <w:keepLines w:val="false"/>
        <w:pageBreakBefore w:val="false"/>
        <w:pBdr/>
        <w:spacing w:line="620" w:lineRule="exact"/>
        <w:ind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-SA"/>
        </w:rPr>
        <w:t xml:space="preserve">附件2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true"/>
        <w:pBdr/>
        <w:spacing w:line="620" w:lineRule="exact"/>
        <w:ind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</w:r>
    </w:p>
    <w:p>
      <w:pPr>
        <w:keepNext w:val="false"/>
        <w:keepLines w:val="false"/>
        <w:pageBreakBefore w:val="false"/>
        <w:pBdr/>
        <w:spacing w:line="620" w:lineRule="exact"/>
        <w:ind/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 xml:space="preserve">随州市市直单位驻点村花名册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</w:r>
    </w:p>
    <w:p>
      <w:pPr>
        <w:keepNext w:val="false"/>
        <w:keepLines w:val="false"/>
        <w:pageBreakBefore w:val="false"/>
        <w:pBdr/>
        <w:spacing w:line="620" w:lineRule="exact"/>
        <w:ind w:hanging="1285" w:left="3168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hanging="1346" w:left="13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随  县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尚市镇有余村、洪山镇温泉村、唐县镇桃园村、安居镇车岗村、三里岗镇许家河村、新街镇苏湾村、高城镇龙王庙村、万和镇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倒峡村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、均川镇龙泉村、万福店农场凤凰山村、草店镇童家湾村、殷店镇雄峰村、小林镇祝林店村、淮河镇龙凤店村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长岗镇珍珠泉村（1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个驻点村）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hanging="1346" w:left="13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广水市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 xml:space="preserve"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十里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双塘村、陈巷镇梧桐村、郝店镇孟畈村、杨寨镇邓店村、吴店镇塘畈村、城郊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石桥村、蔡河镇老虎岗村、关庙镇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肖店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村、长岭镇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锣鼓田村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、太平镇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高店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村、余店镇古城村、武胜关镇青山村、骆店镇陡坡村（13个驻点村）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hanging="1346" w:left="13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曾都区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 xml:space="preserve"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洛阳镇九口堰村、何店镇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谢店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村、府河镇枣树坳村、万店镇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新东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淅河镇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高岗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村（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个驻点村）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hanging="1340" w:left="13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hanging="1340" w:left="13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hanging="1340" w:left="13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hanging="1340" w:left="13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r>
    </w:p>
    <w:p>
      <w:pPr>
        <w:keepNext w:val="false"/>
        <w:keepLines w:val="false"/>
        <w:pageBreakBefore w:val="false"/>
        <w:pBdr/>
        <w:spacing w:line="620" w:lineRule="exact"/>
        <w:ind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-SA"/>
        </w:rPr>
        <w:t xml:space="preserve">附件3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-SA"/>
        </w:rPr>
      </w:r>
    </w:p>
    <w:p>
      <w:pPr>
        <w:keepNext w:val="false"/>
        <w:keepLines w:val="false"/>
        <w:pageBreakBefore w:val="false"/>
        <w:pBdr/>
        <w:spacing w:line="620" w:lineRule="exact"/>
        <w:ind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-SA"/>
        </w:rPr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-SA"/>
        </w:rPr>
      </w:r>
    </w:p>
    <w:p>
      <w:pPr>
        <w:keepNext w:val="false"/>
        <w:keepLines w:val="false"/>
        <w:pageBreakBefore w:val="false"/>
        <w:pBdr/>
        <w:spacing w:line="620" w:lineRule="exact"/>
        <w:ind/>
        <w:jc w:val="center"/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 xml:space="preserve"> 202</w:t>
      </w:r>
      <w:r>
        <w:rPr>
          <w:rFonts w:hint="eastAsia" w:eastAsia="方正小标宋简体" w:cs="Times New Roman"/>
          <w:bCs/>
          <w:color w:val="auto"/>
          <w:sz w:val="40"/>
          <w:szCs w:val="40"/>
          <w:lang w:val="en-US" w:eastAsia="zh-CN"/>
        </w:rPr>
        <w:t xml:space="preserve">5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 xml:space="preserve">年度市级发展新型农村集体经济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</w:r>
    </w:p>
    <w:p>
      <w:pPr>
        <w:keepNext w:val="false"/>
        <w:keepLines w:val="false"/>
        <w:pageBreakBefore w:val="false"/>
        <w:pBdr/>
        <w:spacing w:line="620" w:lineRule="exact"/>
        <w:ind/>
        <w:jc w:val="center"/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 xml:space="preserve">扶持村名单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hanging="1340" w:left="1340"/>
        <w:jc w:val="both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hanging="1346" w:left="134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随  县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澴潭镇万家河村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安居镇皂角树村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新街镇红石桥村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hanging="60" w:left="1337"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尚市镇星模村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唐县镇杨寨村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淮河镇西湾村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厉山镇双寨村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万和镇吉祥村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均川镇九龙观村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长岗镇喻家湾村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殷店镇鞍山村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11个扶持村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hanging="1285" w:left="1285"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广水市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 xml:space="preserve"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长岭镇栗坡村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李店镇红卫村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城郊街道胡家桥村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广水街道土门村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骆店镇三桥村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郝店镇张岗村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太平镇红日村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蔡河镇六合村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十里街道同兴店村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吴店镇中心社区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10个扶持村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hanging="1285" w:left="1285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 xml:space="preserve">曾都区：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南郊街道红山头村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何店镇金花岭村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府河镇官堰堤村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、淅河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镇魏家岗村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洛阳镇君子山村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、万店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镇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28"/>
          <w:szCs w:val="28"/>
          <w:u w:val="none"/>
          <w:lang w:val="en-US" w:eastAsia="zh-CN" w:bidi="ar"/>
        </w:rPr>
        <w:t xml:space="preserve">粉铺村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（6个扶持村）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240" w:lineRule="exact"/>
        <w:ind/>
        <w:jc w:val="both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after="0" w:line="240" w:lineRule="auto"/>
        <w:ind w:firstLine="32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/>
      <w:bookmarkStart w:id="1" w:name="OLE_LINK12"/>
      <w:r/>
      <w:bookmarkStart w:id="2" w:name="OLE_LINK6"/>
      <w:r/>
      <w:bookmarkStart w:id="3" w:name="OLE_LINK4"/>
      <w:r/>
      <w:bookmarkStart w:id="4" w:name="OLE_LINK17"/>
      <w:r>
        <w:rPr>
          <w:rFonts w:hint="default" w:ascii="Times New Roman" w:hAnsi="Times New Roman" w:eastAsia="黑体" w:cs="Times New Roman"/>
          <w:sz w:val="32"/>
          <w:szCs w:val="32"/>
        </w:rPr>
        <w:t xml:space="preserve">信息公开选项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公开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>
          <w:top w:val="single" w:color="000000" w:sz="6" w:space="1"/>
          <w:bottom w:val="single" w:color="000000" w:sz="6" w:space="1"/>
        </w:pBdr>
        <w:tabs>
          <w:tab w:val="left" w:leader="none" w:pos="8218"/>
        </w:tabs>
        <w:spacing w:line="240" w:lineRule="auto"/>
        <w:ind w:firstLine="320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随州市财政局办公室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日印发</w:t>
      </w:r>
      <w:bookmarkEnd w:id="2"/>
      <w:r/>
      <w:bookmarkEnd w:id="3"/>
      <w:r/>
      <w:bookmarkEnd w:id="4"/>
      <w:r/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r>
    </w:p>
    <w:sectPr>
      <w:footnotePr/>
      <w:endnotePr/>
      <w:type w:val="nextPage"/>
      <w:pgSz w:h="16838" w:orient="landscape" w:w="11906"/>
      <w:pgMar w:top="1984" w:right="1587" w:bottom="1814" w:left="1587" w:header="851" w:footer="1417" w:gutter="0"/>
      <w:cols w:num="1" w:sep="0" w:space="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大标宋简体">
    <w:panose1 w:val="020B0604020202020204"/>
  </w:font>
  <w:font w:name="方正小标宋简体">
    <w:panose1 w:val="020B0604020202020204"/>
  </w:font>
  <w:font w:name="仿宋_GB2312">
    <w:panose1 w:val="02010609060101010101"/>
  </w:font>
  <w:font w:name="方正仿宋简体">
    <w:panose1 w:val="020B0604020202020204"/>
  </w:font>
  <w:font w:name="楷体_GB2312">
    <w:panose1 w:val="02010609060101010101"/>
  </w:font>
  <w:font w:name="仿宋">
    <w:panose1 w:val="02010609060101010101"/>
  </w:font>
  <w:font w:name="黑体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1"/>
      <w:pBdr/>
      <w:spacing/>
      <w:ind/>
      <w:rPr/>
    </w:pPr>
    <w:r>
      <w:rPr>
        <w:sz w:val="1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61"/>
                            <w:pBdr/>
                            <w:spacing/>
                            <w:ind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outside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661"/>
                      <w:pBdr/>
                      <w:spacing/>
                      <w:ind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8"/>
    <w:link w:val="656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character" w:styleId="16">
    <w:name w:val="Heading 2 Char"/>
    <w:basedOn w:val="658"/>
    <w:link w:val="657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8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5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5"/>
    <w:next w:val="655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8"/>
    <w:link w:val="662"/>
    <w:uiPriority w:val="99"/>
    <w:pPr>
      <w:pBdr/>
      <w:spacing/>
      <w:ind/>
    </w:pPr>
  </w:style>
  <w:style w:type="character" w:styleId="45">
    <w:name w:val="Footer Char"/>
    <w:basedOn w:val="658"/>
    <w:link w:val="661"/>
    <w:uiPriority w:val="99"/>
    <w:pPr>
      <w:pBdr/>
      <w:spacing/>
      <w:ind/>
    </w:pPr>
  </w:style>
  <w:style w:type="paragraph" w:styleId="46">
    <w:name w:val="Caption"/>
    <w:basedOn w:val="655"/>
    <w:next w:val="65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1"/>
    <w:uiPriority w:val="99"/>
    <w:pPr>
      <w:pBdr/>
      <w:spacing/>
      <w:ind/>
    </w:pPr>
  </w:style>
  <w:style w:type="table" w:styleId="48">
    <w:name w:val="Table Grid"/>
    <w:basedOn w:val="65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5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5"/>
    <w:next w:val="655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5"/>
    <w:next w:val="655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5"/>
    <w:next w:val="655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5"/>
    <w:next w:val="655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5"/>
    <w:next w:val="655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5"/>
    <w:next w:val="655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5"/>
    <w:next w:val="655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5"/>
    <w:next w:val="655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5"/>
    <w:next w:val="655"/>
    <w:uiPriority w:val="99"/>
    <w:unhideWhenUsed/>
    <w:pPr>
      <w:pBdr/>
      <w:spacing w:after="0" w:afterAutospacing="0"/>
      <w:ind/>
    </w:pPr>
  </w:style>
  <w:style w:type="paragraph" w:styleId="655" w:default="1">
    <w:name w:val="Normal"/>
    <w:uiPriority w:val="0"/>
    <w:qFormat/>
    <w:pPr>
      <w:widowControl w:val="false"/>
      <w:pBdr/>
      <w:spacing/>
      <w:ind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656">
    <w:name w:val="Heading 1"/>
    <w:basedOn w:val="655"/>
    <w:next w:val="655"/>
    <w:link w:val="663"/>
    <w:uiPriority w:val="0"/>
    <w:qFormat/>
    <w:pPr>
      <w:widowControl w:val="true"/>
      <w:pBdr/>
      <w:spacing w:after="100" w:afterAutospacing="1" w:before="100" w:beforeAutospacing="1"/>
      <w:ind/>
      <w:jc w:val="left"/>
      <w:outlineLvl w:val="0"/>
    </w:pPr>
    <w:rPr>
      <w:rFonts w:ascii="宋体" w:hAnsi="宋体" w:cs="宋体"/>
      <w:b/>
      <w:bCs/>
      <w:sz w:val="48"/>
      <w:szCs w:val="48"/>
    </w:rPr>
  </w:style>
  <w:style w:type="paragraph" w:styleId="657">
    <w:name w:val="Heading 2"/>
    <w:basedOn w:val="655"/>
    <w:next w:val="655"/>
    <w:link w:val="666"/>
    <w:uiPriority w:val="9"/>
    <w:semiHidden/>
    <w:unhideWhenUsed/>
    <w:qFormat/>
    <w:pPr>
      <w:keepNext w:val="true"/>
      <w:keepLines w:val="true"/>
      <w:pBdr/>
      <w:spacing w:after="260" w:before="260" w:line="416" w:lineRule="auto"/>
      <w:ind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658" w:default="1">
    <w:name w:val="Default Paragraph Font"/>
    <w:uiPriority w:val="1"/>
    <w:semiHidden/>
    <w:unhideWhenUsed/>
    <w:qFormat/>
    <w:pPr>
      <w:pBdr/>
      <w:spacing/>
      <w:ind/>
    </w:pPr>
  </w:style>
  <w:style w:type="table" w:styleId="659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0">
    <w:name w:val="table of authorities"/>
    <w:basedOn w:val="655"/>
    <w:next w:val="655"/>
    <w:uiPriority w:val="99"/>
    <w:semiHidden/>
    <w:qFormat/>
    <w:pPr>
      <w:pBdr/>
      <w:spacing/>
      <w:ind w:left="200"/>
    </w:pPr>
  </w:style>
  <w:style w:type="paragraph" w:styleId="661">
    <w:name w:val="Footer"/>
    <w:basedOn w:val="655"/>
    <w:link w:val="665"/>
    <w:uiPriority w:val="99"/>
    <w:semiHidden/>
    <w:unhideWhenUsed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62">
    <w:name w:val="Header"/>
    <w:basedOn w:val="655"/>
    <w:link w:val="664"/>
    <w:uiPriority w:val="99"/>
    <w:semiHidden/>
    <w:unhideWhenUsed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63" w:customStyle="1">
    <w:name w:val="标题 1 Char"/>
    <w:basedOn w:val="658"/>
    <w:link w:val="656"/>
    <w:uiPriority w:val="0"/>
    <w:qFormat/>
    <w:pPr>
      <w:pBdr/>
      <w:spacing/>
      <w:ind/>
    </w:pPr>
    <w:rPr>
      <w:rFonts w:ascii="宋体" w:hAnsi="宋体" w:eastAsia="宋体" w:cs="宋体"/>
      <w:b/>
      <w:bCs/>
      <w:sz w:val="48"/>
      <w:szCs w:val="48"/>
    </w:rPr>
  </w:style>
  <w:style w:type="character" w:styleId="664" w:customStyle="1">
    <w:name w:val="页眉 Char"/>
    <w:basedOn w:val="658"/>
    <w:link w:val="662"/>
    <w:uiPriority w:val="99"/>
    <w:semiHidden/>
    <w:qFormat/>
    <w:pPr>
      <w:pBdr/>
      <w:spacing/>
      <w:ind/>
    </w:pPr>
    <w:rPr>
      <w:rFonts w:ascii="Times New Roman" w:hAnsi="Times New Roman" w:eastAsia="宋体" w:cs="Times New Roman"/>
      <w:sz w:val="18"/>
      <w:szCs w:val="18"/>
    </w:rPr>
  </w:style>
  <w:style w:type="character" w:styleId="665" w:customStyle="1">
    <w:name w:val="页脚 Char"/>
    <w:basedOn w:val="658"/>
    <w:link w:val="661"/>
    <w:uiPriority w:val="99"/>
    <w:semiHidden/>
    <w:qFormat/>
    <w:pPr>
      <w:pBdr/>
      <w:spacing/>
      <w:ind/>
    </w:pPr>
    <w:rPr>
      <w:rFonts w:ascii="Times New Roman" w:hAnsi="Times New Roman" w:eastAsia="宋体" w:cs="Times New Roman"/>
      <w:sz w:val="18"/>
      <w:szCs w:val="18"/>
    </w:rPr>
  </w:style>
  <w:style w:type="character" w:styleId="666" w:customStyle="1">
    <w:name w:val="标题 2 Char"/>
    <w:basedOn w:val="658"/>
    <w:link w:val="657"/>
    <w:uiPriority w:val="9"/>
    <w:semiHidden/>
    <w:qFormat/>
    <w:pPr>
      <w:pBdr/>
      <w:spacing/>
      <w:ind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667" w:customStyle="1">
    <w:name w:val="font01"/>
    <w:basedOn w:val="658"/>
    <w:uiPriority w:val="0"/>
    <w:qFormat/>
    <w:pPr>
      <w:pBdr/>
      <w:spacing/>
      <w:ind/>
    </w:pPr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styleId="668" w:customStyle="1">
    <w:name w:val="font21"/>
    <w:basedOn w:val="658"/>
    <w:uiPriority w:val="0"/>
    <w:qFormat/>
    <w:pPr>
      <w:pBdr/>
      <w:spacing/>
      <w:ind/>
    </w:pPr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styleId="669" w:customStyle="1">
    <w:name w:val="_Style 3"/>
    <w:uiPriority w:val="99"/>
    <w:qFormat/>
    <w:pPr>
      <w:widowControl w:val="false"/>
      <w:pBdr/>
      <w:spacing/>
      <w:ind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numbering" w:styleId="175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CEB20A4-2926-48A4-BCBF-2CD734E69B46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Microsoft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李永宏</dc:creator>
  <cp:lastModifiedBy>匿名</cp:lastModifiedBy>
  <cp:revision>6</cp:revision>
  <dcterms:created xsi:type="dcterms:W3CDTF">2022-03-01T07:50:00Z</dcterms:created>
  <dcterms:modified xsi:type="dcterms:W3CDTF">2025-10-13T03:04:28Z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BFECA9AB2B6F470EAC4CC49DE7C2B6CF_13</vt:lpwstr>
  </property>
  <property fmtid="{D5CDD505-2E9C-101B-9397-08002B2CF9AE}" pid="4" name="KSOTemplateDocerSaveRecord">
    <vt:lpwstr>eyJoZGlkIjoiNzNjYzk1Y2ZiN2ZjY2ZmNWEzNzQ1ZTFiM2ZmNTAyY2IiLCJ1c2VySWQiOiIyNjM5OTc4OTYifQ==</vt:lpwstr>
  </property>
</Properties>
</file>