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2083A">
      <w:pPr>
        <w:snapToGrid w:val="0"/>
        <w:jc w:val="center"/>
        <w:rPr>
          <w:rFonts w:ascii="仿宋_GB2312"/>
          <w:sz w:val="52"/>
          <w:szCs w:val="52"/>
        </w:rPr>
      </w:pPr>
    </w:p>
    <w:p w14:paraId="5A41F0F7">
      <w:pPr>
        <w:ind w:firstLine="632" w:firstLineChars="200"/>
        <w:jc w:val="right"/>
      </w:pPr>
      <w:r>
        <w:t>随</w:t>
      </w:r>
      <w:r>
        <w:rPr>
          <w:rFonts w:hint="eastAsia"/>
        </w:rPr>
        <w:t>财</w:t>
      </w:r>
      <w:r>
        <w:t>函〔20</w:t>
      </w:r>
      <w:r>
        <w:rPr>
          <w:rFonts w:hint="eastAsia"/>
        </w:rPr>
        <w:t>2</w:t>
      </w:r>
      <w:r>
        <w:rPr>
          <w:rFonts w:hint="eastAsia"/>
          <w:lang w:val="en-US" w:eastAsia="zh-CN"/>
        </w:rPr>
        <w:t>5</w:t>
      </w:r>
      <w:r>
        <w:t>〕</w:t>
      </w:r>
      <w:r>
        <w:rPr>
          <w:rFonts w:hint="eastAsia"/>
          <w:lang w:val="en-US" w:eastAsia="zh-CN"/>
        </w:rPr>
        <w:t>222</w:t>
      </w:r>
      <w:r>
        <w:t>号</w:t>
      </w:r>
    </w:p>
    <w:p w14:paraId="7F04B8C5">
      <w:pPr>
        <w:spacing w:line="600" w:lineRule="exact"/>
        <w:rPr>
          <w:rFonts w:eastAsia="华文中宋"/>
          <w:sz w:val="30"/>
          <w:szCs w:val="30"/>
        </w:rPr>
      </w:pPr>
      <w:r>
        <w:rPr>
          <w:rFonts w:eastAsia="华文中宋"/>
        </w:rPr>
        <w:t xml:space="preserve">                       </w:t>
      </w:r>
      <w:r>
        <w:rPr>
          <w:rFonts w:eastAsia="华文中宋"/>
          <w:sz w:val="30"/>
          <w:szCs w:val="30"/>
        </w:rPr>
        <w:t xml:space="preserve"> </w:t>
      </w:r>
    </w:p>
    <w:p w14:paraId="52A98C06">
      <w:pPr>
        <w:pStyle w:val="2"/>
        <w:snapToGrid w:val="0"/>
        <w:spacing w:before="0" w:after="0" w:line="240" w:lineRule="auto"/>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关于</w:t>
      </w:r>
      <w:r>
        <w:rPr>
          <w:rFonts w:hint="eastAsia" w:ascii="方正小标宋简体" w:hAnsi="方正小标宋简体" w:eastAsia="方正小标宋简体" w:cs="方正小标宋简体"/>
          <w:b w:val="0"/>
          <w:bCs w:val="0"/>
          <w:lang w:val="en-US" w:eastAsia="zh-CN"/>
        </w:rPr>
        <w:t>提前</w:t>
      </w:r>
      <w:r>
        <w:rPr>
          <w:rFonts w:hint="eastAsia" w:ascii="方正小标宋简体" w:hAnsi="方正小标宋简体" w:eastAsia="方正小标宋简体" w:cs="方正小标宋简体"/>
          <w:b w:val="0"/>
          <w:bCs w:val="0"/>
        </w:rPr>
        <w:t>下达202</w:t>
      </w:r>
      <w:r>
        <w:rPr>
          <w:rFonts w:hint="eastAsia" w:ascii="方正小标宋简体" w:hAnsi="方正小标宋简体" w:eastAsia="方正小标宋简体" w:cs="方正小标宋简体"/>
          <w:b w:val="0"/>
          <w:bCs w:val="0"/>
          <w:lang w:val="en-US" w:eastAsia="zh-CN"/>
        </w:rPr>
        <w:t>6</w:t>
      </w:r>
      <w:r>
        <w:rPr>
          <w:rFonts w:hint="eastAsia" w:ascii="方正小标宋简体" w:hAnsi="方正小标宋简体" w:eastAsia="方正小标宋简体" w:cs="方正小标宋简体"/>
          <w:b w:val="0"/>
          <w:bCs w:val="0"/>
        </w:rPr>
        <w:t>年</w:t>
      </w:r>
      <w:r>
        <w:rPr>
          <w:rFonts w:hint="eastAsia" w:ascii="方正小标宋简体" w:hAnsi="方正小标宋简体" w:eastAsia="方正小标宋简体" w:cs="方正小标宋简体"/>
          <w:b w:val="0"/>
          <w:bCs w:val="0"/>
          <w:lang w:val="en-US" w:eastAsia="zh-CN"/>
        </w:rPr>
        <w:t>中央</w:t>
      </w:r>
      <w:r>
        <w:rPr>
          <w:rFonts w:hint="eastAsia" w:ascii="方正小标宋简体" w:hAnsi="方正小标宋简体" w:eastAsia="方正小标宋简体" w:cs="方正小标宋简体"/>
          <w:b w:val="0"/>
          <w:bCs w:val="0"/>
        </w:rPr>
        <w:t>优抚对象补助</w:t>
      </w:r>
    </w:p>
    <w:p w14:paraId="44BEA88C">
      <w:pPr>
        <w:pStyle w:val="2"/>
        <w:snapToGrid w:val="0"/>
        <w:spacing w:before="0" w:after="0" w:line="240" w:lineRule="auto"/>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lang w:val="en-US" w:eastAsia="zh-CN"/>
        </w:rPr>
        <w:t>经费和优抚对象医疗保障经费</w:t>
      </w:r>
      <w:r>
        <w:rPr>
          <w:rFonts w:hint="eastAsia" w:ascii="方正小标宋简体" w:hAnsi="方正小标宋简体" w:eastAsia="方正小标宋简体" w:cs="方正小标宋简体"/>
          <w:b w:val="0"/>
          <w:bCs w:val="0"/>
        </w:rPr>
        <w:t>的通知</w:t>
      </w:r>
    </w:p>
    <w:p w14:paraId="200747AA">
      <w:pPr>
        <w:jc w:val="center"/>
        <w:rPr>
          <w:rFonts w:ascii="华文中宋" w:hAnsi="华文中宋" w:eastAsia="华文中宋"/>
          <w:b/>
          <w:sz w:val="28"/>
          <w:szCs w:val="28"/>
        </w:rPr>
      </w:pPr>
    </w:p>
    <w:p w14:paraId="1C59B139">
      <w:pPr>
        <w:snapToGrid w:val="0"/>
        <w:spacing w:line="360" w:lineRule="auto"/>
        <w:ind w:firstLine="2528" w:firstLineChars="800"/>
      </w:pPr>
      <w:r>
        <w:rPr>
          <w:rFonts w:hint="eastAsia"/>
        </w:rPr>
        <w:t xml:space="preserve"> </w:t>
      </w:r>
      <w:r>
        <w:t>：</w:t>
      </w:r>
    </w:p>
    <w:p w14:paraId="1EA7359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根据《省财政厅关于</w:t>
      </w:r>
      <w:r>
        <w:rPr>
          <w:rFonts w:hint="default" w:ascii="Times New Roman" w:hAnsi="Times New Roman" w:eastAsia="仿宋_GB2312" w:cs="Times New Roman"/>
          <w:lang w:val="en-US" w:eastAsia="zh-CN"/>
        </w:rPr>
        <w:t>提前</w:t>
      </w:r>
      <w:r>
        <w:rPr>
          <w:rFonts w:hint="default" w:ascii="Times New Roman" w:hAnsi="Times New Roman" w:eastAsia="仿宋_GB2312" w:cs="Times New Roman"/>
        </w:rPr>
        <w:t>下达2026年中央优抚对象补助经费和优抚对象医疗保障经费的通知》（鄂财社发〔202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70</w:t>
      </w:r>
      <w:r>
        <w:rPr>
          <w:rFonts w:hint="default" w:ascii="Times New Roman" w:hAnsi="Times New Roman" w:eastAsia="仿宋_GB2312" w:cs="Times New Roman"/>
        </w:rPr>
        <w:t>号）文件精神，经研究决定，现下达你地202</w:t>
      </w:r>
      <w:r>
        <w:rPr>
          <w:rFonts w:hint="eastAsia" w:cs="Times New Roman"/>
          <w:lang w:val="en-US" w:eastAsia="zh-CN"/>
        </w:rPr>
        <w:t>6</w:t>
      </w:r>
      <w:r>
        <w:rPr>
          <w:rFonts w:hint="default" w:ascii="Times New Roman" w:hAnsi="Times New Roman" w:eastAsia="仿宋_GB2312" w:cs="Times New Roman"/>
        </w:rPr>
        <w:t>年</w:t>
      </w:r>
      <w:r>
        <w:rPr>
          <w:rFonts w:hint="default" w:ascii="Times New Roman" w:hAnsi="Times New Roman" w:eastAsia="仿宋_GB2312" w:cs="Times New Roman"/>
          <w:lang w:val="en-US" w:eastAsia="zh-CN"/>
        </w:rPr>
        <w:t>中央</w:t>
      </w:r>
      <w:r>
        <w:rPr>
          <w:rFonts w:hint="default" w:ascii="Times New Roman" w:hAnsi="Times New Roman" w:eastAsia="仿宋_GB2312" w:cs="Times New Roman"/>
        </w:rPr>
        <w:t>优抚对象</w:t>
      </w:r>
      <w:r>
        <w:rPr>
          <w:rFonts w:hint="default" w:ascii="Times New Roman" w:hAnsi="Times New Roman" w:eastAsia="仿宋_GB2312" w:cs="Times New Roman"/>
          <w:lang w:val="en-US" w:eastAsia="zh-CN"/>
        </w:rPr>
        <w:t>定期补助</w:t>
      </w:r>
      <w:r>
        <w:rPr>
          <w:rFonts w:hint="eastAsia" w:cs="Times New Roman"/>
          <w:lang w:val="en-US" w:eastAsia="zh-CN"/>
        </w:rPr>
        <w:t xml:space="preserve">经费   </w:t>
      </w:r>
      <w:r>
        <w:rPr>
          <w:rFonts w:hint="default" w:ascii="Times New Roman" w:hAnsi="Times New Roman" w:eastAsia="仿宋_GB2312" w:cs="Times New Roman"/>
        </w:rPr>
        <w:t>万元</w:t>
      </w:r>
      <w:r>
        <w:rPr>
          <w:rFonts w:hint="eastAsia" w:cs="Times New Roman"/>
          <w:lang w:eastAsia="zh-CN"/>
        </w:rPr>
        <w:t>、</w:t>
      </w:r>
      <w:r>
        <w:rPr>
          <w:rFonts w:hint="default" w:ascii="Times New Roman" w:hAnsi="Times New Roman" w:eastAsia="仿宋_GB2312" w:cs="Times New Roman"/>
        </w:rPr>
        <w:t>优抚对象医疗保障经费   万元（项目</w:t>
      </w:r>
      <w:r>
        <w:rPr>
          <w:rFonts w:hint="default" w:ascii="Times New Roman" w:hAnsi="Times New Roman" w:eastAsia="仿宋_GB2312" w:cs="Times New Roman"/>
          <w:lang w:val="en-US" w:eastAsia="zh-CN"/>
        </w:rPr>
        <w:t>代</w:t>
      </w:r>
      <w:r>
        <w:rPr>
          <w:rFonts w:hint="default" w:ascii="Times New Roman" w:hAnsi="Times New Roman" w:eastAsia="仿宋_GB2312" w:cs="Times New Roman"/>
        </w:rPr>
        <w:t>码：</w:t>
      </w:r>
      <w:r>
        <w:rPr>
          <w:rFonts w:hint="default" w:ascii="Times New Roman" w:hAnsi="Times New Roman" w:eastAsia="仿宋_GB2312" w:cs="Times New Roman"/>
          <w:lang w:val="en-US" w:eastAsia="zh-CN"/>
        </w:rPr>
        <w:t>100000Z135080000006、10000013Z135080000026</w:t>
      </w:r>
      <w:r>
        <w:rPr>
          <w:rFonts w:hint="default" w:ascii="Times New Roman" w:hAnsi="Times New Roman" w:eastAsia="仿宋_GB2312" w:cs="Times New Roman"/>
        </w:rPr>
        <w:t>）。支出请列入“</w:t>
      </w:r>
      <w:r>
        <w:rPr>
          <w:rFonts w:hint="default" w:ascii="Times New Roman" w:hAnsi="Times New Roman" w:eastAsia="仿宋_GB2312" w:cs="Times New Roman"/>
          <w:lang w:val="en-US" w:eastAsia="zh-CN"/>
        </w:rPr>
        <w:t>20808</w:t>
      </w:r>
      <w:r>
        <w:rPr>
          <w:rFonts w:hint="eastAsia" w:cs="Times New Roman"/>
          <w:lang w:val="en-US" w:eastAsia="zh-CN"/>
        </w:rPr>
        <w:t>99其他优抚支出</w:t>
      </w:r>
      <w:r>
        <w:rPr>
          <w:rFonts w:hint="default" w:ascii="Times New Roman" w:hAnsi="Times New Roman" w:eastAsia="仿宋_GB2312" w:cs="Times New Roman"/>
        </w:rPr>
        <w:t>”</w:t>
      </w:r>
      <w:r>
        <w:rPr>
          <w:rFonts w:hint="default" w:ascii="Times New Roman" w:hAnsi="Times New Roman" w:eastAsia="仿宋_GB2312" w:cs="Times New Roman"/>
          <w:lang w:eastAsia="zh-CN"/>
        </w:rPr>
        <w:t>、“</w:t>
      </w:r>
      <w:r>
        <w:rPr>
          <w:rFonts w:hint="default" w:ascii="Times New Roman" w:hAnsi="Times New Roman" w:eastAsia="仿宋_GB2312" w:cs="Times New Roman"/>
        </w:rPr>
        <w:t>210</w:t>
      </w:r>
      <w:r>
        <w:rPr>
          <w:rFonts w:hint="eastAsia" w:cs="Times New Roman"/>
          <w:lang w:val="en-US" w:eastAsia="zh-CN"/>
        </w:rPr>
        <w:t>1401优抚对象医疗补助</w:t>
      </w:r>
      <w:r>
        <w:rPr>
          <w:rFonts w:hint="default" w:ascii="Times New Roman" w:hAnsi="Times New Roman" w:eastAsia="仿宋_GB2312" w:cs="Times New Roman"/>
          <w:lang w:eastAsia="zh-CN"/>
        </w:rPr>
        <w:t>”</w:t>
      </w:r>
      <w:r>
        <w:rPr>
          <w:rFonts w:hint="default" w:ascii="Times New Roman" w:hAnsi="Times New Roman" w:eastAsia="仿宋_GB2312" w:cs="Times New Roman"/>
        </w:rPr>
        <w:t>科目下相应的项级科目。通过202</w:t>
      </w:r>
      <w:r>
        <w:rPr>
          <w:rFonts w:hint="eastAsia" w:cs="Times New Roman"/>
          <w:lang w:val="en-US" w:eastAsia="zh-CN"/>
        </w:rPr>
        <w:t>6</w:t>
      </w:r>
      <w:r>
        <w:rPr>
          <w:rFonts w:hint="default" w:ascii="Times New Roman" w:hAnsi="Times New Roman" w:eastAsia="仿宋_GB2312" w:cs="Times New Roman"/>
        </w:rPr>
        <w:t>年财政年终结算办理。</w:t>
      </w:r>
    </w:p>
    <w:p w14:paraId="409E45E3">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lang w:val="en-US" w:eastAsia="zh-CN"/>
        </w:rPr>
      </w:pPr>
      <w:r>
        <w:rPr>
          <w:rFonts w:hint="eastAsia"/>
        </w:rPr>
        <w:t>一</w:t>
      </w:r>
      <w:r>
        <w:t>、</w:t>
      </w:r>
      <w:r>
        <w:rPr>
          <w:rFonts w:hint="eastAsia"/>
          <w:lang w:val="en-US" w:eastAsia="zh-CN"/>
        </w:rPr>
        <w:t>优抚对象定期补助</w:t>
      </w:r>
      <w:r>
        <w:rPr>
          <w:rFonts w:hint="eastAsia"/>
        </w:rPr>
        <w:t>主要用于</w:t>
      </w:r>
      <w:r>
        <w:rPr>
          <w:rFonts w:hint="eastAsia"/>
          <w:lang w:val="en-US" w:eastAsia="zh-CN"/>
        </w:rPr>
        <w:t>：按规定发放残疾军人（含伤残人民警察、伤残预备役人员和民兵民工、其他因公伤残人员）、三属（烈士遗属、因公牺牲军人遗属和病故军人遗属入、在乡退伍红军老战士（含红军失散人员）、在乡复员军人、港澳老战士、带病回乡退役军人、参战参试退役军人（含直接参与铀矿开采退役军人入、烈士老年子女（含新中国成立前错杀后被平反人员的子女)、年满60周岁农村籍退役士兵、新中国成立前加入中国共产党的农村老党员和未享受离退休待遇的城镇老党员等人员的抚恤金和生活补助。</w:t>
      </w:r>
    </w:p>
    <w:p w14:paraId="680BA96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lang w:val="en-US" w:eastAsia="zh-CN"/>
        </w:rPr>
      </w:pPr>
      <w:r>
        <w:rPr>
          <w:rFonts w:hint="eastAsia"/>
          <w:lang w:val="en-US" w:eastAsia="zh-CN"/>
        </w:rPr>
        <w:t>二、优抚对象医疗保障资金主要用于落实优抚对象医疗待遇和解决优抚对象医疗困难问题。</w:t>
      </w:r>
    </w:p>
    <w:p w14:paraId="7739894C">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rPr>
      </w:pPr>
      <w:r>
        <w:rPr>
          <w:rFonts w:hint="eastAsia"/>
          <w:lang w:val="en-US" w:eastAsia="zh-CN"/>
        </w:rPr>
        <w:t>三</w:t>
      </w:r>
      <w:r>
        <w:rPr>
          <w:rFonts w:hint="eastAsia"/>
        </w:rPr>
        <w:t>、请按照《中共中央 国务院关于全面实施预算绩效管理的意见》的要求，切实提高财政资金使用效益，在组织预算执行中对照你地区域绩效目标做好绩效监控，确保年度绩效目标如期实现。同时，请参照中央、省级做法，将你地绩效目标及时分解，做好预算绩效管理工作。</w:t>
      </w:r>
    </w:p>
    <w:p w14:paraId="1F4CE6BB">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eastAsia="仿宋_GB2312"/>
          <w:lang w:val="en-US" w:eastAsia="zh-CN"/>
        </w:rPr>
      </w:pPr>
      <w:r>
        <w:rPr>
          <w:rFonts w:hint="eastAsia"/>
          <w:lang w:val="en-US" w:eastAsia="zh-CN"/>
        </w:rPr>
        <w:t>四、此次下达资金为中央直达资金，请加强资金监管，尽快按程序拨付使用，确保专款专用。请尽快录入并完善直达资金监控系统信息。</w:t>
      </w:r>
    </w:p>
    <w:p w14:paraId="52A9D813">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pPr>
    </w:p>
    <w:p w14:paraId="5B6096BD">
      <w:pPr>
        <w:keepNext w:val="0"/>
        <w:keepLines w:val="0"/>
        <w:pageBreakBefore w:val="0"/>
        <w:widowControl w:val="0"/>
        <w:kinsoku/>
        <w:wordWrap/>
        <w:overflowPunct/>
        <w:topLinePunct w:val="0"/>
        <w:autoSpaceDE/>
        <w:autoSpaceDN/>
        <w:bidi w:val="0"/>
        <w:adjustRightInd/>
        <w:snapToGrid w:val="0"/>
        <w:spacing w:line="560" w:lineRule="exact"/>
        <w:ind w:left="1580" w:leftChars="200" w:hanging="948" w:hangingChars="300"/>
        <w:textAlignment w:val="auto"/>
      </w:pPr>
      <w:r>
        <w:rPr>
          <w:rFonts w:hint="eastAsia"/>
        </w:rPr>
        <w:t>附件：1.提前下达2026年中央优抚对象补助经费和优抚对象医疗保障经费</w:t>
      </w:r>
      <w:r>
        <w:rPr>
          <w:rFonts w:hint="eastAsia"/>
          <w:spacing w:val="-20"/>
          <w:sz w:val="32"/>
        </w:rPr>
        <w:t>分配表</w:t>
      </w:r>
    </w:p>
    <w:p w14:paraId="1CA007E2">
      <w:pPr>
        <w:keepNext w:val="0"/>
        <w:keepLines w:val="0"/>
        <w:pageBreakBefore w:val="0"/>
        <w:widowControl w:val="0"/>
        <w:kinsoku/>
        <w:wordWrap/>
        <w:overflowPunct/>
        <w:topLinePunct w:val="0"/>
        <w:autoSpaceDE/>
        <w:autoSpaceDN/>
        <w:bidi w:val="0"/>
        <w:adjustRightInd/>
        <w:spacing w:line="560" w:lineRule="exact"/>
        <w:ind w:left="1580" w:leftChars="500" w:firstLine="0" w:firstLineChars="0"/>
        <w:textAlignment w:val="auto"/>
        <w:rPr>
          <w:spacing w:val="-20"/>
          <w:sz w:val="32"/>
        </w:rPr>
      </w:pPr>
      <w:r>
        <w:rPr>
          <w:rFonts w:hint="eastAsia"/>
        </w:rPr>
        <w:t>2.提前下达2026年中央优抚对象补助经费和优抚对象医疗保障经费</w:t>
      </w:r>
      <w:r>
        <w:rPr>
          <w:rFonts w:hint="eastAsia"/>
          <w:spacing w:val="-20"/>
          <w:sz w:val="32"/>
        </w:rPr>
        <w:t>区域绩效目标表</w:t>
      </w:r>
    </w:p>
    <w:p w14:paraId="37C3BA6A">
      <w:pPr>
        <w:ind w:firstLine="790" w:firstLineChars="250"/>
      </w:pPr>
    </w:p>
    <w:p w14:paraId="1BF2832D">
      <w:pPr>
        <w:ind w:firstLine="790" w:firstLineChars="250"/>
      </w:pPr>
      <w:r>
        <w:rPr>
          <w:rFonts w:hint="eastAsia"/>
        </w:rPr>
        <w:t>随州市财政局               随州市退役军人事务局</w:t>
      </w:r>
    </w:p>
    <w:p w14:paraId="17F5FE74">
      <w:pPr>
        <w:ind w:right="160"/>
        <w:jc w:val="center"/>
        <w:rPr>
          <w:rFonts w:hint="eastAsia"/>
          <w:lang w:val="en-US" w:eastAsia="zh-CN"/>
        </w:rPr>
      </w:pPr>
      <w:r>
        <w:rPr>
          <w:rFonts w:hint="eastAsia"/>
        </w:rPr>
        <w:t xml:space="preserve">                            </w:t>
      </w:r>
      <w:r>
        <w:rPr>
          <w:rFonts w:hint="eastAsia"/>
          <w:lang w:val="en-US" w:eastAsia="zh-CN"/>
        </w:rPr>
        <w:t xml:space="preserve"> </w:t>
      </w:r>
    </w:p>
    <w:p w14:paraId="075731EA">
      <w:pPr>
        <w:ind w:right="160"/>
        <w:jc w:val="center"/>
        <w:rPr>
          <w:rFonts w:hint="eastAsia"/>
          <w:lang w:val="en-US" w:eastAsia="zh-CN"/>
        </w:rPr>
      </w:pPr>
    </w:p>
    <w:p w14:paraId="2D8D3E4C">
      <w:pPr>
        <w:ind w:right="160"/>
        <w:jc w:val="center"/>
        <w:rPr>
          <w:spacing w:val="30"/>
        </w:rPr>
      </w:pPr>
      <w:r>
        <w:rPr>
          <w:rFonts w:hint="eastAsia"/>
          <w:lang w:val="en-US" w:eastAsia="zh-CN"/>
        </w:rPr>
        <w:t xml:space="preserve">                     2025</w:t>
      </w:r>
      <w:r>
        <w:rPr>
          <w:spacing w:val="30"/>
        </w:rPr>
        <w:t>年</w:t>
      </w:r>
      <w:r>
        <w:rPr>
          <w:rFonts w:hint="eastAsia"/>
          <w:spacing w:val="30"/>
          <w:lang w:val="en-US" w:eastAsia="zh-CN"/>
        </w:rPr>
        <w:t>12</w:t>
      </w:r>
      <w:r>
        <w:rPr>
          <w:spacing w:val="30"/>
        </w:rPr>
        <w:t>月</w:t>
      </w:r>
      <w:r>
        <w:rPr>
          <w:rFonts w:hint="eastAsia"/>
          <w:spacing w:val="30"/>
          <w:lang w:val="en-US" w:eastAsia="zh-CN"/>
        </w:rPr>
        <w:t>8</w:t>
      </w:r>
      <w:r>
        <w:rPr>
          <w:spacing w:val="30"/>
        </w:rPr>
        <w:t>日</w:t>
      </w:r>
    </w:p>
    <w:p w14:paraId="7ACC2270">
      <w:pPr>
        <w:rPr>
          <w:rFonts w:ascii="黑体" w:eastAsia="黑体"/>
        </w:rPr>
      </w:pPr>
      <w:r>
        <w:rPr>
          <w:rFonts w:hint="eastAsia" w:ascii="黑体" w:eastAsia="黑体"/>
        </w:rPr>
        <w:t>附件1</w:t>
      </w:r>
    </w:p>
    <w:p w14:paraId="4A1462ED">
      <w:pPr>
        <w:snapToGrid w:val="0"/>
        <w:jc w:val="center"/>
        <w:rPr>
          <w:rFonts w:hint="eastAsia" w:ascii="方正大标宋简体" w:hAnsi="方正大标宋简体" w:eastAsia="方正大标宋简体" w:cs="方正大标宋简体"/>
          <w:bCs/>
          <w:sz w:val="44"/>
          <w:szCs w:val="44"/>
          <w:lang w:val="en-US" w:eastAsia="zh-CN"/>
        </w:rPr>
      </w:pPr>
    </w:p>
    <w:p w14:paraId="2894CE1B">
      <w:pPr>
        <w:snapToGrid w:val="0"/>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提前下达2026年中央优抚对象补助经费</w:t>
      </w:r>
    </w:p>
    <w:p w14:paraId="7D47816C">
      <w:pPr>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和优抚对象医疗保障经费</w:t>
      </w:r>
      <w:r>
        <w:rPr>
          <w:rFonts w:hint="eastAsia" w:ascii="方正小标宋简体" w:hAnsi="方正小标宋简体" w:eastAsia="方正小标宋简体" w:cs="方正小标宋简体"/>
          <w:bCs/>
          <w:sz w:val="44"/>
          <w:szCs w:val="44"/>
        </w:rPr>
        <w:t>分配表</w:t>
      </w:r>
    </w:p>
    <w:p w14:paraId="07295963">
      <w:pPr>
        <w:ind w:right="300"/>
        <w:jc w:val="center"/>
        <w:rPr>
          <w:rFonts w:hint="eastAsia"/>
          <w:sz w:val="24"/>
          <w:lang w:val="en-US" w:eastAsia="zh-CN"/>
        </w:rPr>
      </w:pPr>
      <w:r>
        <w:rPr>
          <w:rFonts w:hint="eastAsia"/>
          <w:sz w:val="24"/>
          <w:lang w:val="en-US" w:eastAsia="zh-CN"/>
        </w:rPr>
        <w:t xml:space="preserve">                                                 </w:t>
      </w:r>
    </w:p>
    <w:p w14:paraId="6B4F1073">
      <w:pPr>
        <w:ind w:right="300"/>
        <w:jc w:val="center"/>
        <w:rPr>
          <w:rFonts w:hint="eastAsia"/>
          <w:sz w:val="32"/>
          <w:szCs w:val="32"/>
        </w:rPr>
      </w:pPr>
      <w:r>
        <w:rPr>
          <w:rFonts w:hint="eastAsia"/>
          <w:sz w:val="24"/>
          <w:lang w:val="en-US" w:eastAsia="zh-CN"/>
        </w:rPr>
        <w:t xml:space="preserve">                                                      </w:t>
      </w:r>
      <w:r>
        <w:rPr>
          <w:rFonts w:hint="eastAsia"/>
          <w:sz w:val="32"/>
          <w:szCs w:val="32"/>
        </w:rPr>
        <w:t>单位：万元</w:t>
      </w:r>
    </w:p>
    <w:tbl>
      <w:tblPr>
        <w:tblStyle w:val="6"/>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2235"/>
        <w:gridCol w:w="2262"/>
        <w:gridCol w:w="1968"/>
      </w:tblGrid>
      <w:tr w14:paraId="7C25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851" w:type="dxa"/>
            <w:vAlign w:val="center"/>
          </w:tcPr>
          <w:p w14:paraId="71684698">
            <w:pPr>
              <w:jc w:val="center"/>
              <w:rPr>
                <w:rFonts w:hint="eastAsia" w:ascii="黑体" w:hAnsi="黑体" w:eastAsia="黑体" w:cs="黑体"/>
                <w:sz w:val="32"/>
                <w:szCs w:val="32"/>
              </w:rPr>
            </w:pPr>
            <w:r>
              <w:rPr>
                <w:rFonts w:hint="eastAsia" w:ascii="黑体" w:hAnsi="黑体" w:eastAsia="黑体" w:cs="黑体"/>
                <w:sz w:val="32"/>
                <w:szCs w:val="32"/>
              </w:rPr>
              <w:t>地区</w:t>
            </w:r>
          </w:p>
        </w:tc>
        <w:tc>
          <w:tcPr>
            <w:tcW w:w="2235" w:type="dxa"/>
            <w:vAlign w:val="center"/>
          </w:tcPr>
          <w:p w14:paraId="390EB170">
            <w:pPr>
              <w:snapToGrid w:val="0"/>
              <w:jc w:val="center"/>
              <w:rPr>
                <w:rFonts w:hint="eastAsia" w:ascii="黑体" w:hAnsi="黑体" w:eastAsia="黑体" w:cs="黑体"/>
                <w:sz w:val="32"/>
                <w:szCs w:val="32"/>
              </w:rPr>
            </w:pPr>
            <w:r>
              <w:rPr>
                <w:rFonts w:hint="eastAsia" w:ascii="黑体" w:hAnsi="黑体" w:eastAsia="黑体" w:cs="黑体"/>
                <w:sz w:val="32"/>
                <w:szCs w:val="32"/>
                <w:lang w:val="en-US" w:eastAsia="zh-CN"/>
              </w:rPr>
              <w:t>优抚对象定期补助</w:t>
            </w:r>
          </w:p>
        </w:tc>
        <w:tc>
          <w:tcPr>
            <w:tcW w:w="2262" w:type="dxa"/>
            <w:vAlign w:val="center"/>
          </w:tcPr>
          <w:p w14:paraId="1D9A460E">
            <w:pPr>
              <w:snapToGrid w:val="0"/>
              <w:jc w:val="center"/>
              <w:rPr>
                <w:rFonts w:hint="eastAsia" w:ascii="黑体" w:hAnsi="黑体" w:eastAsia="黑体" w:cs="黑体"/>
                <w:sz w:val="32"/>
                <w:szCs w:val="32"/>
              </w:rPr>
            </w:pPr>
            <w:r>
              <w:rPr>
                <w:rFonts w:hint="eastAsia" w:ascii="黑体" w:hAnsi="黑体" w:eastAsia="黑体" w:cs="黑体"/>
                <w:sz w:val="32"/>
                <w:szCs w:val="32"/>
                <w:lang w:val="en-US" w:eastAsia="zh-CN"/>
              </w:rPr>
              <w:t>优抚对象医疗保障</w:t>
            </w:r>
          </w:p>
        </w:tc>
        <w:tc>
          <w:tcPr>
            <w:tcW w:w="1968" w:type="dxa"/>
            <w:vAlign w:val="center"/>
          </w:tcPr>
          <w:p w14:paraId="09D612E3">
            <w:pPr>
              <w:snapToGrid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合计</w:t>
            </w:r>
          </w:p>
        </w:tc>
      </w:tr>
      <w:tr w14:paraId="44A6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851" w:type="dxa"/>
            <w:tcBorders>
              <w:top w:val="single" w:color="auto" w:sz="4" w:space="0"/>
            </w:tcBorders>
            <w:vAlign w:val="center"/>
          </w:tcPr>
          <w:p w14:paraId="0512177A">
            <w:pPr>
              <w:snapToGrid w:val="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随州高新区</w:t>
            </w:r>
          </w:p>
        </w:tc>
        <w:tc>
          <w:tcPr>
            <w:tcW w:w="2235" w:type="dxa"/>
            <w:vAlign w:val="center"/>
          </w:tcPr>
          <w:p w14:paraId="31E88DFB">
            <w:pPr>
              <w:jc w:val="center"/>
              <w:rPr>
                <w:rFonts w:hint="default" w:eastAsia="仿宋_GB2312"/>
                <w:sz w:val="28"/>
                <w:szCs w:val="28"/>
                <w:lang w:val="en-US" w:eastAsia="zh-CN"/>
              </w:rPr>
            </w:pPr>
            <w:r>
              <w:rPr>
                <w:rFonts w:hint="eastAsia"/>
                <w:sz w:val="28"/>
                <w:szCs w:val="28"/>
                <w:lang w:val="en-US" w:eastAsia="zh-CN"/>
              </w:rPr>
              <w:t>239</w:t>
            </w:r>
          </w:p>
        </w:tc>
        <w:tc>
          <w:tcPr>
            <w:tcW w:w="2262" w:type="dxa"/>
            <w:vAlign w:val="center"/>
          </w:tcPr>
          <w:p w14:paraId="7339256E">
            <w:pPr>
              <w:jc w:val="center"/>
              <w:rPr>
                <w:rFonts w:hint="eastAsia" w:eastAsia="仿宋_GB2312"/>
                <w:sz w:val="28"/>
                <w:szCs w:val="28"/>
                <w:lang w:val="en-US" w:eastAsia="zh-CN"/>
              </w:rPr>
            </w:pPr>
            <w:r>
              <w:rPr>
                <w:rFonts w:hint="eastAsia"/>
                <w:sz w:val="28"/>
                <w:szCs w:val="28"/>
                <w:lang w:val="en-US" w:eastAsia="zh-CN"/>
              </w:rPr>
              <w:t>6</w:t>
            </w:r>
          </w:p>
        </w:tc>
        <w:tc>
          <w:tcPr>
            <w:tcW w:w="1968" w:type="dxa"/>
            <w:vAlign w:val="center"/>
          </w:tcPr>
          <w:p w14:paraId="5203A717">
            <w:pPr>
              <w:jc w:val="center"/>
              <w:rPr>
                <w:rFonts w:hint="default" w:eastAsia="仿宋_GB2312"/>
                <w:sz w:val="28"/>
                <w:szCs w:val="28"/>
                <w:lang w:val="en-US" w:eastAsia="zh-CN"/>
              </w:rPr>
            </w:pPr>
            <w:r>
              <w:rPr>
                <w:rFonts w:hint="eastAsia"/>
                <w:sz w:val="28"/>
                <w:szCs w:val="28"/>
                <w:lang w:val="en-US" w:eastAsia="zh-CN"/>
              </w:rPr>
              <w:t>245</w:t>
            </w:r>
          </w:p>
        </w:tc>
      </w:tr>
    </w:tbl>
    <w:p w14:paraId="74F8FF60">
      <w:pPr>
        <w:ind w:firstLine="2844" w:firstLineChars="900"/>
      </w:pPr>
    </w:p>
    <w:p w14:paraId="155C235E"/>
    <w:p w14:paraId="6EDAB7EA"/>
    <w:p w14:paraId="0946A0AB"/>
    <w:p w14:paraId="162E78D3"/>
    <w:p w14:paraId="7A3F0D10"/>
    <w:p w14:paraId="29F45280"/>
    <w:p w14:paraId="46EF61CD"/>
    <w:p w14:paraId="6C59F07A"/>
    <w:p w14:paraId="0B7B6994"/>
    <w:p w14:paraId="59E70B09"/>
    <w:p w14:paraId="01C85D9E"/>
    <w:p w14:paraId="315882A0">
      <w:pPr>
        <w:rPr>
          <w:rFonts w:hint="eastAsia" w:ascii="仿宋" w:hAnsi="仿宋" w:eastAsia="仿宋" w:cs="仿宋"/>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4D3AB365">
      <w:pPr>
        <w:snapToGrid w:val="0"/>
        <w:jc w:val="center"/>
        <w:rPr>
          <w:rFonts w:hint="eastAsia" w:ascii="方正小标宋简体" w:hAnsi="方正小标宋简体" w:eastAsia="方正小标宋简体" w:cs="方正小标宋简体"/>
          <w:bCs/>
          <w:sz w:val="44"/>
          <w:szCs w:val="44"/>
          <w:lang w:val="en-US" w:eastAsia="zh-CN"/>
        </w:rPr>
      </w:pPr>
    </w:p>
    <w:p w14:paraId="228D2F5C">
      <w:pPr>
        <w:snapToGrid w:val="0"/>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提前下达2026年中央优抚对象补助经费</w:t>
      </w:r>
    </w:p>
    <w:p w14:paraId="7D50BDEC">
      <w:pPr>
        <w:snapToGrid w:val="0"/>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和优抚对象医疗保障经费区域绩效目标表</w:t>
      </w:r>
    </w:p>
    <w:tbl>
      <w:tblPr>
        <w:tblStyle w:val="6"/>
        <w:tblpPr w:leftFromText="180" w:rightFromText="180" w:vertAnchor="text" w:horzAnchor="page" w:tblpXSpec="center" w:tblpY="122"/>
        <w:tblOverlap w:val="never"/>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866"/>
        <w:gridCol w:w="937"/>
        <w:gridCol w:w="813"/>
        <w:gridCol w:w="1225"/>
        <w:gridCol w:w="1084"/>
        <w:gridCol w:w="1250"/>
        <w:gridCol w:w="1263"/>
      </w:tblGrid>
      <w:tr w14:paraId="55B7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06" w:type="dxa"/>
            <w:vAlign w:val="center"/>
          </w:tcPr>
          <w:p w14:paraId="0106A50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专项名称</w:t>
            </w:r>
          </w:p>
        </w:tc>
        <w:tc>
          <w:tcPr>
            <w:tcW w:w="7438" w:type="dxa"/>
            <w:gridSpan w:val="7"/>
            <w:vAlign w:val="center"/>
          </w:tcPr>
          <w:p w14:paraId="113EB60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优抚对象补助经费</w:t>
            </w:r>
          </w:p>
        </w:tc>
      </w:tr>
      <w:tr w14:paraId="1400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06" w:type="dxa"/>
            <w:vAlign w:val="center"/>
          </w:tcPr>
          <w:p w14:paraId="0504EC1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    央</w:t>
            </w:r>
          </w:p>
          <w:p w14:paraId="1E48C0F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主管部门</w:t>
            </w:r>
          </w:p>
        </w:tc>
        <w:tc>
          <w:tcPr>
            <w:tcW w:w="7438" w:type="dxa"/>
            <w:gridSpan w:val="7"/>
            <w:vAlign w:val="center"/>
          </w:tcPr>
          <w:p w14:paraId="5996FF3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退役军人事务部</w:t>
            </w:r>
          </w:p>
        </w:tc>
      </w:tr>
      <w:tr w14:paraId="0ED8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06" w:type="dxa"/>
            <w:vMerge w:val="restart"/>
            <w:vAlign w:val="center"/>
          </w:tcPr>
          <w:p w14:paraId="42BBAB1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资金情况</w:t>
            </w:r>
          </w:p>
        </w:tc>
        <w:tc>
          <w:tcPr>
            <w:tcW w:w="2616" w:type="dxa"/>
            <w:gridSpan w:val="3"/>
            <w:vAlign w:val="center"/>
          </w:tcPr>
          <w:p w14:paraId="3508E28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年度金额：</w:t>
            </w:r>
          </w:p>
        </w:tc>
        <w:tc>
          <w:tcPr>
            <w:tcW w:w="4822" w:type="dxa"/>
            <w:gridSpan w:val="4"/>
            <w:vAlign w:val="center"/>
          </w:tcPr>
          <w:p w14:paraId="376D43A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p>
        </w:tc>
      </w:tr>
      <w:tr w14:paraId="039B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06" w:type="dxa"/>
            <w:vMerge w:val="continue"/>
            <w:vAlign w:val="center"/>
          </w:tcPr>
          <w:p w14:paraId="3FCCF0E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p>
        </w:tc>
        <w:tc>
          <w:tcPr>
            <w:tcW w:w="2616" w:type="dxa"/>
            <w:gridSpan w:val="3"/>
            <w:vAlign w:val="center"/>
          </w:tcPr>
          <w:p w14:paraId="615B7CF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其中：中央补助</w:t>
            </w:r>
          </w:p>
        </w:tc>
        <w:tc>
          <w:tcPr>
            <w:tcW w:w="4822" w:type="dxa"/>
            <w:gridSpan w:val="4"/>
            <w:vAlign w:val="center"/>
          </w:tcPr>
          <w:p w14:paraId="68646AB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245</w:t>
            </w:r>
          </w:p>
        </w:tc>
      </w:tr>
      <w:tr w14:paraId="3FC9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06" w:type="dxa"/>
            <w:vMerge w:val="continue"/>
            <w:vAlign w:val="center"/>
          </w:tcPr>
          <w:p w14:paraId="19B31F9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p>
        </w:tc>
        <w:tc>
          <w:tcPr>
            <w:tcW w:w="2616" w:type="dxa"/>
            <w:gridSpan w:val="3"/>
            <w:vAlign w:val="center"/>
          </w:tcPr>
          <w:p w14:paraId="638B659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地方资金</w:t>
            </w:r>
          </w:p>
        </w:tc>
        <w:tc>
          <w:tcPr>
            <w:tcW w:w="4822" w:type="dxa"/>
            <w:gridSpan w:val="4"/>
            <w:vAlign w:val="center"/>
          </w:tcPr>
          <w:p w14:paraId="181C0E0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p>
        </w:tc>
      </w:tr>
      <w:tr w14:paraId="3F13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06" w:type="dxa"/>
            <w:vAlign w:val="center"/>
          </w:tcPr>
          <w:p w14:paraId="74BC1D9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度</w:t>
            </w:r>
          </w:p>
          <w:p w14:paraId="0D92918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总体目标</w:t>
            </w:r>
          </w:p>
        </w:tc>
        <w:tc>
          <w:tcPr>
            <w:tcW w:w="7438" w:type="dxa"/>
            <w:gridSpan w:val="7"/>
            <w:vAlign w:val="center"/>
          </w:tcPr>
          <w:p w14:paraId="68E01C98">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1.通过发放优抚对象朴助资金，使优抚对象等人员的基本生活得到有效保障。</w:t>
            </w:r>
          </w:p>
          <w:p w14:paraId="3FD75FC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2.通过发放优抚对象医疗补助资金，对优抚对象参保缴费、住院和门诊费用进行补助，有发帮助解决优抚对象医疗难问题。</w:t>
            </w:r>
          </w:p>
        </w:tc>
      </w:tr>
      <w:tr w14:paraId="726E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06" w:type="dxa"/>
            <w:vMerge w:val="restart"/>
            <w:vAlign w:val="center"/>
          </w:tcPr>
          <w:p w14:paraId="701FED6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    计</w:t>
            </w:r>
          </w:p>
        </w:tc>
        <w:tc>
          <w:tcPr>
            <w:tcW w:w="4925" w:type="dxa"/>
            <w:gridSpan w:val="5"/>
            <w:vAlign w:val="center"/>
          </w:tcPr>
          <w:p w14:paraId="1029177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产出指标</w:t>
            </w:r>
          </w:p>
        </w:tc>
        <w:tc>
          <w:tcPr>
            <w:tcW w:w="1250" w:type="dxa"/>
            <w:vAlign w:val="center"/>
          </w:tcPr>
          <w:p w14:paraId="32B0419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效益指标</w:t>
            </w:r>
          </w:p>
        </w:tc>
        <w:tc>
          <w:tcPr>
            <w:tcW w:w="1263" w:type="dxa"/>
            <w:vAlign w:val="center"/>
          </w:tcPr>
          <w:p w14:paraId="026260B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满意度</w:t>
            </w:r>
          </w:p>
          <w:p w14:paraId="2A217A9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指  标</w:t>
            </w:r>
          </w:p>
        </w:tc>
      </w:tr>
      <w:tr w14:paraId="5222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06" w:type="dxa"/>
            <w:vMerge w:val="continue"/>
            <w:vAlign w:val="center"/>
          </w:tcPr>
          <w:p w14:paraId="4755081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bookmarkStart w:id="0" w:name="_GoBack" w:colFirst="3" w:colLast="4"/>
          </w:p>
        </w:tc>
        <w:tc>
          <w:tcPr>
            <w:tcW w:w="1803" w:type="dxa"/>
            <w:gridSpan w:val="2"/>
            <w:vAlign w:val="center"/>
          </w:tcPr>
          <w:p w14:paraId="1463151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数量指标</w:t>
            </w:r>
          </w:p>
        </w:tc>
        <w:tc>
          <w:tcPr>
            <w:tcW w:w="2038" w:type="dxa"/>
            <w:gridSpan w:val="2"/>
            <w:vAlign w:val="center"/>
          </w:tcPr>
          <w:p w14:paraId="2BA782C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质量指标</w:t>
            </w:r>
          </w:p>
        </w:tc>
        <w:tc>
          <w:tcPr>
            <w:tcW w:w="1084" w:type="dxa"/>
            <w:vAlign w:val="center"/>
          </w:tcPr>
          <w:p w14:paraId="3E55C75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时效指标</w:t>
            </w:r>
          </w:p>
        </w:tc>
        <w:tc>
          <w:tcPr>
            <w:tcW w:w="1250" w:type="dxa"/>
            <w:vAlign w:val="center"/>
          </w:tcPr>
          <w:p w14:paraId="6B2E0F1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社会效益</w:t>
            </w:r>
          </w:p>
          <w:p w14:paraId="6937A94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指    标</w:t>
            </w:r>
          </w:p>
        </w:tc>
        <w:tc>
          <w:tcPr>
            <w:tcW w:w="1263" w:type="dxa"/>
            <w:vAlign w:val="center"/>
          </w:tcPr>
          <w:p w14:paraId="5912D16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服务对象</w:t>
            </w:r>
          </w:p>
          <w:p w14:paraId="1E84532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满 意 度</w:t>
            </w:r>
          </w:p>
          <w:p w14:paraId="34A7A88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指    标</w:t>
            </w:r>
          </w:p>
        </w:tc>
      </w:tr>
      <w:bookmarkEnd w:id="0"/>
      <w:tr w14:paraId="7416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306" w:type="dxa"/>
            <w:vMerge w:val="continue"/>
            <w:vAlign w:val="center"/>
          </w:tcPr>
          <w:p w14:paraId="4A30485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p>
        </w:tc>
        <w:tc>
          <w:tcPr>
            <w:tcW w:w="866" w:type="dxa"/>
            <w:vAlign w:val="center"/>
          </w:tcPr>
          <w:p w14:paraId="174C3A0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优抚对象抚恤补助资金发放人    数</w:t>
            </w:r>
          </w:p>
        </w:tc>
        <w:tc>
          <w:tcPr>
            <w:tcW w:w="937" w:type="dxa"/>
            <w:vAlign w:val="center"/>
          </w:tcPr>
          <w:p w14:paraId="689FC85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享受医疗待遇优抚对象人数</w:t>
            </w:r>
          </w:p>
          <w:p w14:paraId="38F6AA7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p>
        </w:tc>
        <w:tc>
          <w:tcPr>
            <w:tcW w:w="813" w:type="dxa"/>
            <w:vAlign w:val="center"/>
          </w:tcPr>
          <w:p w14:paraId="6282559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经费足额拨付率</w:t>
            </w:r>
          </w:p>
        </w:tc>
        <w:tc>
          <w:tcPr>
            <w:tcW w:w="1225" w:type="dxa"/>
            <w:vAlign w:val="center"/>
          </w:tcPr>
          <w:p w14:paraId="7E62CE1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各类优抚对象抚恤补助标准按规定执  行  率</w:t>
            </w:r>
          </w:p>
        </w:tc>
        <w:tc>
          <w:tcPr>
            <w:tcW w:w="1084" w:type="dxa"/>
            <w:vAlign w:val="center"/>
          </w:tcPr>
          <w:p w14:paraId="24E6AE5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优抚资金及时拨付率</w:t>
            </w:r>
          </w:p>
        </w:tc>
        <w:tc>
          <w:tcPr>
            <w:tcW w:w="1250" w:type="dxa"/>
            <w:vAlign w:val="center"/>
          </w:tcPr>
          <w:p w14:paraId="2D25146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优抚对象生</w:t>
            </w:r>
          </w:p>
          <w:p w14:paraId="6701880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活情况和优</w:t>
            </w:r>
          </w:p>
          <w:p w14:paraId="6043611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抚对象医疗</w:t>
            </w:r>
          </w:p>
          <w:p w14:paraId="04FB029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难问题改善</w:t>
            </w:r>
          </w:p>
          <w:p w14:paraId="6F646C4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情况</w:t>
            </w:r>
          </w:p>
          <w:p w14:paraId="1CFB58A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p>
        </w:tc>
        <w:tc>
          <w:tcPr>
            <w:tcW w:w="1263" w:type="dxa"/>
            <w:vAlign w:val="center"/>
          </w:tcPr>
          <w:p w14:paraId="57336B0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优抚对象</w:t>
            </w:r>
          </w:p>
          <w:p w14:paraId="54A06C6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满 意 度</w:t>
            </w:r>
          </w:p>
        </w:tc>
      </w:tr>
      <w:tr w14:paraId="5BB1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06" w:type="dxa"/>
            <w:vAlign w:val="center"/>
          </w:tcPr>
          <w:p w14:paraId="6B3BD0A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    计</w:t>
            </w:r>
          </w:p>
        </w:tc>
        <w:tc>
          <w:tcPr>
            <w:tcW w:w="866" w:type="dxa"/>
            <w:vAlign w:val="center"/>
          </w:tcPr>
          <w:p w14:paraId="4966A70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387</w:t>
            </w:r>
          </w:p>
        </w:tc>
        <w:tc>
          <w:tcPr>
            <w:tcW w:w="937" w:type="dxa"/>
            <w:vAlign w:val="center"/>
          </w:tcPr>
          <w:p w14:paraId="6C4A433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70</w:t>
            </w:r>
          </w:p>
        </w:tc>
        <w:tc>
          <w:tcPr>
            <w:tcW w:w="813" w:type="dxa"/>
            <w:shd w:val="clear" w:color="auto" w:fill="auto"/>
            <w:vAlign w:val="center"/>
          </w:tcPr>
          <w:p w14:paraId="18A210C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100%</w:t>
            </w:r>
          </w:p>
        </w:tc>
        <w:tc>
          <w:tcPr>
            <w:tcW w:w="1225" w:type="dxa"/>
            <w:shd w:val="clear" w:color="auto" w:fill="auto"/>
            <w:vAlign w:val="center"/>
          </w:tcPr>
          <w:p w14:paraId="55A20E1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100%</w:t>
            </w:r>
          </w:p>
        </w:tc>
        <w:tc>
          <w:tcPr>
            <w:tcW w:w="1084" w:type="dxa"/>
            <w:shd w:val="clear" w:color="auto" w:fill="auto"/>
            <w:vAlign w:val="center"/>
          </w:tcPr>
          <w:p w14:paraId="2494407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100%</w:t>
            </w:r>
          </w:p>
        </w:tc>
        <w:tc>
          <w:tcPr>
            <w:tcW w:w="1250" w:type="dxa"/>
            <w:shd w:val="clear" w:color="auto" w:fill="auto"/>
            <w:vAlign w:val="center"/>
          </w:tcPr>
          <w:p w14:paraId="552D98D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有效改善</w:t>
            </w:r>
          </w:p>
        </w:tc>
        <w:tc>
          <w:tcPr>
            <w:tcW w:w="1263" w:type="dxa"/>
            <w:shd w:val="clear" w:color="auto" w:fill="auto"/>
            <w:vAlign w:val="center"/>
          </w:tcPr>
          <w:p w14:paraId="2B25205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≥90%</w:t>
            </w:r>
          </w:p>
        </w:tc>
      </w:tr>
      <w:tr w14:paraId="548E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306" w:type="dxa"/>
            <w:vAlign w:val="center"/>
          </w:tcPr>
          <w:p w14:paraId="4DF1D70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随州高新区</w:t>
            </w:r>
          </w:p>
        </w:tc>
        <w:tc>
          <w:tcPr>
            <w:tcW w:w="866" w:type="dxa"/>
            <w:vAlign w:val="center"/>
          </w:tcPr>
          <w:p w14:paraId="210A979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387</w:t>
            </w:r>
          </w:p>
        </w:tc>
        <w:tc>
          <w:tcPr>
            <w:tcW w:w="937" w:type="dxa"/>
            <w:vAlign w:val="center"/>
          </w:tcPr>
          <w:p w14:paraId="4463302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70</w:t>
            </w:r>
          </w:p>
        </w:tc>
        <w:tc>
          <w:tcPr>
            <w:tcW w:w="813" w:type="dxa"/>
            <w:vAlign w:val="center"/>
          </w:tcPr>
          <w:p w14:paraId="5CAD79E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100%</w:t>
            </w:r>
          </w:p>
        </w:tc>
        <w:tc>
          <w:tcPr>
            <w:tcW w:w="1225" w:type="dxa"/>
            <w:vAlign w:val="center"/>
          </w:tcPr>
          <w:p w14:paraId="2A8731A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100%</w:t>
            </w:r>
          </w:p>
        </w:tc>
        <w:tc>
          <w:tcPr>
            <w:tcW w:w="1084" w:type="dxa"/>
            <w:vAlign w:val="center"/>
          </w:tcPr>
          <w:p w14:paraId="3281AEB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100%</w:t>
            </w:r>
          </w:p>
        </w:tc>
        <w:tc>
          <w:tcPr>
            <w:tcW w:w="1250" w:type="dxa"/>
            <w:vAlign w:val="center"/>
          </w:tcPr>
          <w:p w14:paraId="091A7E2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有效改善</w:t>
            </w:r>
          </w:p>
        </w:tc>
        <w:tc>
          <w:tcPr>
            <w:tcW w:w="1263" w:type="dxa"/>
            <w:vAlign w:val="center"/>
          </w:tcPr>
          <w:p w14:paraId="567C9BE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≥90%</w:t>
            </w:r>
          </w:p>
        </w:tc>
      </w:tr>
    </w:tbl>
    <w:p w14:paraId="6881D3F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21"/>
          <w:szCs w:val="21"/>
          <w:lang w:val="en-US" w:eastAsia="zh-CN"/>
        </w:rPr>
      </w:pPr>
    </w:p>
    <w:p w14:paraId="1A035C95">
      <w:pPr>
        <w:rPr>
          <w:rFonts w:hint="eastAsia" w:ascii="仿宋" w:hAnsi="仿宋" w:eastAsia="仿宋" w:cs="仿宋"/>
          <w:lang w:val="en-US" w:eastAsia="zh-CN"/>
        </w:rPr>
      </w:pPr>
      <w:r>
        <w:rPr>
          <w:rFonts w:hint="eastAsia" w:ascii="黑体" w:eastAsia="黑体"/>
          <w:lang w:val="en-US" w:eastAsia="zh-CN"/>
        </w:rPr>
        <w:t>信息公开选项：</w:t>
      </w:r>
      <w:r>
        <w:rPr>
          <w:rFonts w:hint="eastAsia" w:ascii="仿宋" w:hAnsi="仿宋" w:eastAsia="仿宋" w:cs="仿宋"/>
          <w:lang w:val="en-US" w:eastAsia="zh-CN"/>
        </w:rPr>
        <w:t>主动公开</w:t>
      </w:r>
    </w:p>
    <w:p w14:paraId="375EF168">
      <w:r>
        <w:rPr>
          <w:sz w:val="32"/>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10160</wp:posOffset>
                </wp:positionV>
                <wp:extent cx="5683250" cy="0"/>
                <wp:effectExtent l="0" t="0" r="0" b="0"/>
                <wp:wrapNone/>
                <wp:docPr id="1" name="直接连接符 1"/>
                <wp:cNvGraphicFramePr/>
                <a:graphic xmlns:a="http://schemas.openxmlformats.org/drawingml/2006/main">
                  <a:graphicData uri="http://schemas.microsoft.com/office/word/2010/wordprocessingShape">
                    <wps:wsp>
                      <wps:cNvCnPr/>
                      <wps:spPr>
                        <a:xfrm>
                          <a:off x="934720" y="8942705"/>
                          <a:ext cx="568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1pt;margin-top:0.8pt;height:0pt;width:447.5pt;z-index:251659264;mso-width-relative:page;mso-height-relative:page;" filled="f" stroked="t" coordsize="21600,21600" o:gfxdata="UEsDBAoAAAAAAIdO4kAAAAAAAAAAAAAAAAAEAAAAZHJzL1BLAwQUAAAACACHTuJALsZCqNMAAAAH&#10;AQAADwAAAGRycy9kb3ducmV2LnhtbE2PMU/DMBCFdyT+g3VIbK2TCrVRiNMBiQEJCQgMjG58jQP2&#10;OcRuEv49Bwsdn97Td99V+8U7MeEY+0AK8nUGAqkNpqdOwdvr/aoAEZMmo10gVPCNEfb15UWlSxNm&#10;esGpSZ1gCMVSK7ApDaWUsbXodVyHAYm7Yxi9ThzHTppRzwz3Tm6ybCu97okvWD3gncX2szl5ptDu&#10;67i48f356dEWzfyBD9MOlbq+yrNbEAmX9D+GX31Wh5qdDuFEJgqnYJVnG55ysQXBfVHc8CuHvyzr&#10;Sp771z9QSwMEFAAAAAgAh07iQGNG1orwAQAAvAMAAA4AAABkcnMvZTJvRG9jLnhtbK1TTW4TMRTe&#10;I3EHy3syk0mTpqNMumhUNggiAQdwPPaMJf/Jz80kl+ACSOxgxZI9t2k5Bs+e0Jay6YJZeGy/5++9&#10;7/Pn1eXBaLIXAZSzDZ1OSkqE5a5Vtmvoxw/Xr5aUQGS2ZdpZ0dCjAHq5fvliNfhaVK53uhWBIIiF&#10;evAN7WP0dVEA74VhMHFeWAxKFwyLuAxd0QY2ILrRRVWWi2JwofXBcQGAu5sxSE+I4TmATkrFxcbx&#10;GyNsHFGD0CwiJeiVB7rO3UopeHwnJYhIdEORacwjFsH5Lo3FesXqLjDfK35qgT2nhSecDFMWi95D&#10;bVhk5Caof6CM4sGBk3HCnSlGIlkRZDEtn2jzvmdeZC4oNfh70eH/wfK3+20gqkUnUGKZwQu/+/zj&#10;9tPXXz+/4Hj3/RuZJpEGDzXmXtltOK3Ab0NifJDBpD9yIYeGXszOzitU99jQ5cVZdV7OR43FIRKO&#10;8fliOavmmMAxI+tfPGD4APG1cIakSUO1sok+q9n+DUSsi6l/UtK2dddK63yF2pKhoYtZRmZoS4l2&#10;wCLGIzWwHSVMd+h3HkNGBKdVm04nHAjd7koHsmfJJflLTWO1v9JS6Q2DfszLoZGbURGfhFYGOT8+&#10;rS2CJOVGrdJs59pjljDv46XmMicDJtc8XufTD49u/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xkKo0wAAAAcBAAAPAAAAAAAAAAEAIAAAACIAAABkcnMvZG93bnJldi54bWxQSwECFAAUAAAACACH&#10;TuJAY0bWivABAAC8AwAADgAAAAAAAAABACAAAAAiAQAAZHJzL2Uyb0RvYy54bWxQSwUGAAAAAAYA&#10;BgBZAQAAhAUAAAAA&#10;">
                <v:fill on="f" focussize="0,0"/>
                <v:stroke weight="0.5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-86995</wp:posOffset>
                </wp:positionH>
                <wp:positionV relativeFrom="paragraph">
                  <wp:posOffset>353060</wp:posOffset>
                </wp:positionV>
                <wp:extent cx="56832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8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85pt;margin-top:27.8pt;height:0pt;width:447.5pt;z-index:251660288;mso-width-relative:page;mso-height-relative:page;" filled="f" stroked="t" coordsize="21600,21600" o:gfxdata="UEsDBAoAAAAAAIdO4kAAAAAAAAAAAAAAAAAEAAAAZHJzL1BLAwQUAAAACACHTuJA8JizLdcAAAAJ&#10;AQAADwAAAGRycy9kb3ducmV2LnhtbE2PsU7DMBCGdyTewTokttYJVZsoxOmAxICEBKQMjG58jQP2&#10;OdhuEt4eIwYY7+7Xd99f7xdr2IQ+DI4E5OsMGFLn1EC9gNfD/aoEFqIkJY0jFPCFAfbN5UUtK+Vm&#10;esGpjT1LEAqVFKBjHCvOQ6fRyrB2I1K6nZy3MqbR91x5OSe4Nfwmy3bcyoHSBy1HvNPYfbRnmyhU&#10;fJ4W49+enx512c7v+DAVKMT1VZ7dAou4xL8w/OgndWiS09GdSQVmBKzyTZGiArbbHbAUKMt8A+z4&#10;u+BNzf83aL4BUEsDBBQAAAAIAIdO4kCtoHf94QEAALEDAAAOAAAAZHJzL2Uyb0RvYy54bWytUztu&#10;GzEQ7QPkDgR7a2UZFoSFVi4s2E2QCEhyAIpL7hLgDzO0VrpELhAgXVKlTJ/bxDlGhlxZdpzGRbbg&#10;Dufzhu9xuLzaO8t2CtAE3/DzyZQz5WVoje8a/vHDzdmCM0zCt8IGrxp+UMivVq9fLYdYq1nog20V&#10;MALxWA+x4X1Ksa4qlL1yAichKk9BHcCJRFvoqhbEQOjOVrPpdF4NAdoIQSpE8q7HID8iwksAg9ZG&#10;qnWQd075NKKCsiIRJexNRL4qp9VayfROa1SJ2YYT01RWakL2Nq/VainqDkTsjTweQbzkCM84OWE8&#10;NT1BrUUS7A7MP1DOSAgYdJrI4KqRSFGEWJxPn2nzvhdRFS4kNcaT6Pj/YOXb3QaYaRs+48wLRxd+&#10;//nHr09ff//8Quv9929slkUaItaUe+03cNxh3EBmvNfg8p+4sH0R9nASVu0Tk+S8nC8uZpekuXyI&#10;VY+FETDdquBYNhpujc+cRS12bzBRM0p9SMluH26MteXerGdDw+cXBVnQLGqaAWriIvFB33EmbEdD&#10;LhMURAzWtLk64yB022sLbCfyaJQvE6Vuf6Xl1muB/ZhXQuPQOJPoHVjjGr54Wm09gWS5RoGytQ3t&#10;oehW/HSTpc1x6vKoPN2X6seXtvo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JizLdcAAAAJAQAA&#10;DwAAAAAAAAABACAAAAAiAAAAZHJzL2Rvd25yZXYueG1sUEsBAhQAFAAAAAgAh07iQK2gd/3hAQAA&#10;sQMAAA4AAAAAAAAAAQAgAAAAJgEAAGRycy9lMm9Eb2MueG1sUEsFBgAAAAAGAAYAWQEAAHkFAAAA&#10;AA==&#10;">
                <v:fill on="f" focussize="0,0"/>
                <v:stroke weight="0.5pt" color="#000000 [3200]" miterlimit="8" joinstyle="miter"/>
                <v:imagedata o:title=""/>
                <o:lock v:ext="edit" aspectratio="f"/>
              </v:line>
            </w:pict>
          </mc:Fallback>
        </mc:AlternateContent>
      </w:r>
      <w:r>
        <w:rPr>
          <w:rFonts w:hint="eastAsia" w:ascii="仿宋" w:hAnsi="仿宋" w:eastAsia="仿宋" w:cs="仿宋"/>
          <w:lang w:val="en-US" w:eastAsia="zh-CN"/>
        </w:rPr>
        <w:t>随州市财政局办公室                   2025年12月8印发</w:t>
      </w:r>
    </w:p>
    <w:sectPr>
      <w:headerReference r:id="rId4" w:type="first"/>
      <w:footerReference r:id="rId5" w:type="first"/>
      <w:headerReference r:id="rId3" w:type="default"/>
      <w:pgSz w:w="11906" w:h="16838"/>
      <w:pgMar w:top="2098" w:right="1474" w:bottom="1984" w:left="1587" w:header="851" w:footer="1417"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8D2299-554F-4629-84B0-581137955E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6E40230-48C2-4DB5-8661-962DC50D1E7E}"/>
  </w:font>
  <w:font w:name="仿宋_GB2312">
    <w:panose1 w:val="02010609030101010101"/>
    <w:charset w:val="86"/>
    <w:family w:val="auto"/>
    <w:pitch w:val="default"/>
    <w:sig w:usb0="00000001" w:usb1="080E0000" w:usb2="00000000" w:usb3="00000000" w:csb0="00040000" w:csb1="00000000"/>
    <w:embedRegular r:id="rId3" w:fontKey="{BE9BADC8-6C12-4FD0-A77A-EF9605A808DE}"/>
  </w:font>
  <w:font w:name="华文中宋">
    <w:panose1 w:val="02010600040101010101"/>
    <w:charset w:val="86"/>
    <w:family w:val="auto"/>
    <w:pitch w:val="default"/>
    <w:sig w:usb0="00000287" w:usb1="080F0000" w:usb2="00000000" w:usb3="00000000" w:csb0="0004009F" w:csb1="DFD70000"/>
    <w:embedRegular r:id="rId4" w:fontKey="{2DA586CF-AFBF-44E0-BBDE-4BEDEC2AF683}"/>
  </w:font>
  <w:font w:name="方正小标宋简体">
    <w:panose1 w:val="03000509000000000000"/>
    <w:charset w:val="86"/>
    <w:family w:val="auto"/>
    <w:pitch w:val="default"/>
    <w:sig w:usb0="00000001" w:usb1="080E0000" w:usb2="00000000" w:usb3="00000000" w:csb0="00040000" w:csb1="00000000"/>
    <w:embedRegular r:id="rId5" w:fontKey="{4F06AA8A-EF26-4D8D-BBB1-2A64EAB5C407}"/>
  </w:font>
  <w:font w:name="方正大标宋简体">
    <w:altName w:val="微软雅黑"/>
    <w:panose1 w:val="02010601030101010101"/>
    <w:charset w:val="86"/>
    <w:family w:val="auto"/>
    <w:pitch w:val="default"/>
    <w:sig w:usb0="00000000" w:usb1="00000000" w:usb2="00000000" w:usb3="00000000" w:csb0="00040000" w:csb1="00000000"/>
    <w:embedRegular r:id="rId6" w:fontKey="{01DB2A93-BFC7-4D26-AF0A-64D5400265B4}"/>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7" w:fontKey="{3CA203FA-3BBE-4544-BF71-05725EE1E6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6B2A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3464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3BD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2MGJkZTZmZGQzZWY1YTk0YWRjMzk3MDJjZDNlMGEifQ=="/>
  </w:docVars>
  <w:rsids>
    <w:rsidRoot w:val="70A55AB2"/>
    <w:rsid w:val="032322B7"/>
    <w:rsid w:val="043607DE"/>
    <w:rsid w:val="06922751"/>
    <w:rsid w:val="0A5402C3"/>
    <w:rsid w:val="0A81594F"/>
    <w:rsid w:val="0ABE3A4A"/>
    <w:rsid w:val="12DB1B83"/>
    <w:rsid w:val="14D31D75"/>
    <w:rsid w:val="22707B89"/>
    <w:rsid w:val="273A53EF"/>
    <w:rsid w:val="2ABE5720"/>
    <w:rsid w:val="2AFA5879"/>
    <w:rsid w:val="2B270850"/>
    <w:rsid w:val="2BA801AC"/>
    <w:rsid w:val="33124B58"/>
    <w:rsid w:val="38344E22"/>
    <w:rsid w:val="3D57649D"/>
    <w:rsid w:val="3FA71E38"/>
    <w:rsid w:val="496E5DD2"/>
    <w:rsid w:val="4D4442F9"/>
    <w:rsid w:val="4E9B5E82"/>
    <w:rsid w:val="50D23849"/>
    <w:rsid w:val="52140592"/>
    <w:rsid w:val="5511700B"/>
    <w:rsid w:val="553A0B02"/>
    <w:rsid w:val="5DCD3A9B"/>
    <w:rsid w:val="5ED62411"/>
    <w:rsid w:val="6C562B32"/>
    <w:rsid w:val="6DA94D0E"/>
    <w:rsid w:val="706B5CC1"/>
    <w:rsid w:val="70A55AB2"/>
    <w:rsid w:val="70FA16C8"/>
    <w:rsid w:val="78000AED"/>
    <w:rsid w:val="78666360"/>
    <w:rsid w:val="7AF61D59"/>
    <w:rsid w:val="7EB02B41"/>
    <w:rsid w:val="7F290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1169</Words>
  <Characters>1299</Characters>
  <Lines>0</Lines>
  <Paragraphs>0</Paragraphs>
  <TotalTime>2</TotalTime>
  <ScaleCrop>false</ScaleCrop>
  <LinksUpToDate>false</LinksUpToDate>
  <CharactersWithSpaces>1562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2021-12-13T06:47:00Z</dcterms:created>
  <dc:creator>UserPASS</dc:creator>
  <cp:lastModifiedBy>婷婷</cp:lastModifiedBy>
  <cp:lastPrinted>2024-12-04T03:15:00Z</cp:lastPrinted>
  <dcterms:modified xsi:type="dcterms:W3CDTF">2026-03-09T03:10:21Z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F0210A45F3A448FFA2D487CD343BAA29</vt:lpwstr>
  </property>
  <property fmtid="{D5CDD505-2E9C-101B-9397-08002B2CF9AE}" pid="4" name="KSOTemplateDocerSaveRecord">
    <vt:lpwstr>eyJoZGlkIjoiMWEwNGNhY2UxZmUxMGM0M2QwOTllMTEzNTZiNjk4ZDYiLCJ1c2VySWQiOiI5Njc4NDU2MjEifQ==</vt:lpwstr>
  </property>
</Properties>
</file>